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375/2026/NĐ-CP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86/2023/NĐ-CP NGÀY 07 THÁNG 12 NĂM 2023 CỦA CHÍNH PHỦ QUY ĐỊNH VỀ KHUNG TIÊU CHUẨN VÀ TRÌNH TỰ, THỦ TỤC, HỒ SƠ XÉT TẶNG DANH HIỆU “GIA ĐÌNH VĂN HÓA”, “THÔN, TỔ DÂN PHỐ VĂN HÓA”, “XÃ, PHƯỜNG, THỊ TRẤN TIÊU BIỂU”</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Luật Thi đua, khen thưởng số 06/2022/QH15 được sửa đổi, bổ sung bởi Luật số 06/2026/QH16;</w:t>
      </w:r>
    </w:p>
    <w:p>
      <w:pPr>
        <w:bidi w:val="0"/>
        <w:spacing w:before="120" w:beforeAutospacing="0" w:after="280" w:afterAutospacing="1"/>
      </w:pPr>
      <w:r>
        <w:rPr>
          <w:i/>
          <w:iCs/>
          <w:rtl w:val="0"/>
        </w:rPr>
        <w:t>Theo đề nghị của Bộ trưởng Bộ Văn hóa, Thể thao và Du lịch;</w:t>
      </w:r>
    </w:p>
    <w:p>
      <w:pPr>
        <w:bidi w:val="0"/>
        <w:spacing w:before="120" w:beforeAutospacing="0" w:after="280" w:afterAutospacing="1"/>
      </w:pPr>
      <w:r>
        <w:rPr>
          <w:i/>
          <w:iCs/>
          <w:rtl w:val="0"/>
        </w:rPr>
        <w:t>Chính phủ ban hành Nghị định sửa đổi, bổ sung một số điều của Nghị định số 86/2023/NĐ-CP ngày 07 tháng 12 năm 2023 của Chính phủ quy định về khung tiêu chuẩn và trình tự, thủ tục, hồ sơ xét tặng danh hiệu “Gia đình văn hóa”, “Thôn, tổ dân phố văn hóa”, “Xã, phường, thị trấn tiêu biểu”.</w:t>
      </w:r>
    </w:p>
    <w:p>
      <w:pPr>
        <w:bidi w:val="0"/>
        <w:spacing w:before="120" w:beforeAutospacing="0" w:after="280" w:afterAutospacing="1"/>
      </w:pPr>
      <w:bookmarkStart w:id="2" w:name="dieu_1"/>
      <w:r>
        <w:rPr>
          <w:b/>
          <w:bCs/>
          <w:rtl w:val="0"/>
        </w:rPr>
        <w:t>Điều 1. Sửa đổi, bổ sung tên Nghị định số 86/2023/NĐ-CP</w:t>
      </w:r>
      <w:bookmarkEnd w:id="2"/>
    </w:p>
    <w:p>
      <w:pPr>
        <w:bidi w:val="0"/>
        <w:spacing w:before="120" w:beforeAutospacing="0" w:after="280" w:afterAutospacing="1"/>
      </w:pPr>
      <w:r>
        <w:rPr>
          <w:rtl w:val="0"/>
        </w:rPr>
        <w:t>Sửa đổi tên Nghị định như sau:</w:t>
      </w:r>
    </w:p>
    <w:p>
      <w:pPr>
        <w:bidi w:val="0"/>
        <w:spacing w:before="120" w:beforeAutospacing="0" w:after="280" w:afterAutospacing="1"/>
      </w:pPr>
      <w:r>
        <w:rPr>
          <w:rtl w:val="0"/>
        </w:rPr>
        <w:t>“Nghị định quy định về khung tiêu chuẩn xét tặng danh hiệu “Gia đình văn hóa”, “Thôn, tổ dân phố văn hóa”, “Xã, phường, đặc khu tiêu biểu”.”</w:t>
      </w:r>
    </w:p>
    <w:p>
      <w:pPr>
        <w:bidi w:val="0"/>
        <w:spacing w:before="120" w:beforeAutospacing="0" w:after="280" w:afterAutospacing="1"/>
      </w:pPr>
      <w:bookmarkStart w:id="3" w:name="dieu_2"/>
      <w:r>
        <w:rPr>
          <w:b/>
          <w:bCs/>
          <w:rtl w:val="0"/>
        </w:rPr>
        <w:t>Điều 2. Sửa đổi, bổ sung Điều 1</w:t>
      </w:r>
      <w:bookmarkEnd w:id="3"/>
    </w:p>
    <w:p>
      <w:pPr>
        <w:bidi w:val="0"/>
        <w:spacing w:before="120" w:beforeAutospacing="0" w:after="280" w:afterAutospacing="1"/>
      </w:pPr>
      <w:r>
        <w:rPr>
          <w:b/>
          <w:bCs/>
          <w:rtl w:val="0"/>
        </w:rPr>
        <w:t>“Điều 1. Phạm vi điều chỉnh</w:t>
      </w:r>
    </w:p>
    <w:p>
      <w:pPr>
        <w:bidi w:val="0"/>
        <w:spacing w:before="120" w:beforeAutospacing="0" w:after="280" w:afterAutospacing="1"/>
      </w:pPr>
      <w:r>
        <w:rPr>
          <w:rtl w:val="0"/>
        </w:rPr>
        <w:t>Nghị định này quy định khung tiêu chuẩn xét tặng danh hiệu “Gia đình văn hóa”, “Thôn, tổ dân phố văn hóa”, “Xã, phường, đặc khu tiêu biểu”.”.</w:t>
      </w:r>
    </w:p>
    <w:p>
      <w:pPr>
        <w:bidi w:val="0"/>
        <w:spacing w:before="120" w:beforeAutospacing="0" w:after="280" w:afterAutospacing="1"/>
      </w:pPr>
      <w:bookmarkStart w:id="4" w:name="dieu_3"/>
      <w:r>
        <w:rPr>
          <w:b/>
          <w:bCs/>
          <w:rtl w:val="0"/>
        </w:rPr>
        <w:t>Điều 3. Sửa đổi, bổ sung khoản 2 Điều 4</w:t>
      </w:r>
      <w:bookmarkEnd w:id="4"/>
    </w:p>
    <w:p>
      <w:pPr>
        <w:bidi w:val="0"/>
        <w:spacing w:before="120" w:beforeAutospacing="0" w:after="280" w:afterAutospacing="1"/>
      </w:pPr>
      <w:r>
        <w:rPr>
          <w:rtl w:val="0"/>
        </w:rPr>
        <w:t xml:space="preserve">“2. Cơ quan có thẩm quyền quy định tại </w:t>
      </w:r>
      <w:bookmarkStart w:id="5" w:name="dc_1"/>
      <w:r>
        <w:rPr>
          <w:rtl w:val="0"/>
        </w:rPr>
        <w:t>khoản 4 Điều 79 và khoản 3 Điều 80 của Luật Thi đua, khen thưởng số 06/2022/QH15</w:t>
      </w:r>
      <w:bookmarkEnd w:id="5"/>
      <w:r>
        <w:rPr>
          <w:rtl w:val="0"/>
        </w:rPr>
        <w:t xml:space="preserve"> được sửa đổi, bổ sung bởi Luật số 06/2026/QH16 quyết định tặng các danh hiệu “Gia đình văn hóa”, “Thôn, tổ dân phố văn hóa”, “Xã, phường, đặc khu tiêu biểu”.”.</w:t>
      </w:r>
    </w:p>
    <w:p>
      <w:pPr>
        <w:bidi w:val="0"/>
        <w:spacing w:before="120" w:beforeAutospacing="0" w:after="280" w:afterAutospacing="1"/>
      </w:pPr>
      <w:bookmarkStart w:id="6" w:name="dieu_4"/>
      <w:r>
        <w:rPr>
          <w:b/>
          <w:bCs/>
          <w:rtl w:val="0"/>
        </w:rPr>
        <w:t>Điều 4. Sửa đổi, bổ sung khoản 2 Điều 11</w:t>
      </w:r>
      <w:bookmarkEnd w:id="6"/>
    </w:p>
    <w:p>
      <w:pPr>
        <w:bidi w:val="0"/>
        <w:spacing w:before="120" w:beforeAutospacing="0" w:after="280" w:afterAutospacing="1"/>
      </w:pPr>
      <w:r>
        <w:rPr>
          <w:rtl w:val="0"/>
        </w:rPr>
        <w:t>“2. Ủy ban nhân dân cấp tỉnh quy định chi tiết tiêu chuẩn theo các Phụ lục ban hành kèm theo Nghị định này; quy định chi tiết, hướng dẫn cụ thể hồ sơ, thủ tục đề nghị xét tặng danh hiệu “Gia đình văn hóa”, “Thôn, tổ dân phố văn hóa”, “Xã, phường, đặc khu tiêu biểu” theo quy định của pháp luật về thi đua, khen thưởng.”.</w:t>
      </w:r>
    </w:p>
    <w:p>
      <w:pPr>
        <w:bidi w:val="0"/>
        <w:spacing w:before="120" w:beforeAutospacing="0" w:after="280" w:afterAutospacing="1"/>
      </w:pPr>
      <w:bookmarkStart w:id="7" w:name="dieu_5"/>
      <w:r>
        <w:rPr>
          <w:b/>
          <w:bCs/>
          <w:rtl w:val="0"/>
        </w:rPr>
        <w:t>Điều 5. Thay thế và bãi bỏ một số điều, cụm từ, Phụ lục của Nghị định số 86/2023/NĐ-CP</w:t>
      </w:r>
      <w:bookmarkEnd w:id="7"/>
    </w:p>
    <w:p>
      <w:pPr>
        <w:bidi w:val="0"/>
        <w:spacing w:before="120" w:beforeAutospacing="0" w:after="280" w:afterAutospacing="1"/>
      </w:pPr>
      <w:r>
        <w:rPr>
          <w:rtl w:val="0"/>
        </w:rPr>
        <w:t xml:space="preserve">1. Thay thế cụm từ “thị trấn” bằng cụm từ “đặc khu” tại </w:t>
      </w:r>
      <w:bookmarkStart w:id="8" w:name="dc_2"/>
      <w:r>
        <w:rPr>
          <w:rtl w:val="0"/>
        </w:rPr>
        <w:t>Điều 2; khoản 1 Điều 4; Điều 5; khoản 3</w:t>
      </w:r>
      <w:bookmarkEnd w:id="8"/>
      <w:r>
        <w:rPr>
          <w:rtl w:val="0"/>
        </w:rPr>
        <w:t xml:space="preserve"> và tiêu đề </w:t>
      </w:r>
      <w:bookmarkStart w:id="9" w:name="dc_3"/>
      <w:r>
        <w:rPr>
          <w:rtl w:val="0"/>
        </w:rPr>
        <w:t>khoản 6 Điều 6; điểm b và điểm c khoản 1 và khoản 2 Điều 10; khoản 1, khoản 3 và khoản 4 Điều 11</w:t>
      </w:r>
      <w:bookmarkEnd w:id="9"/>
      <w:r>
        <w:rPr>
          <w:rtl w:val="0"/>
        </w:rPr>
        <w:t>.</w:t>
      </w:r>
    </w:p>
    <w:p>
      <w:pPr>
        <w:bidi w:val="0"/>
        <w:spacing w:before="120" w:beforeAutospacing="0" w:after="280" w:afterAutospacing="1"/>
      </w:pPr>
      <w:r>
        <w:rPr>
          <w:rtl w:val="0"/>
        </w:rPr>
        <w:t xml:space="preserve">2. Bãi bỏ </w:t>
      </w:r>
      <w:bookmarkStart w:id="10" w:name="dc_4"/>
      <w:r>
        <w:rPr>
          <w:rtl w:val="0"/>
        </w:rPr>
        <w:t>Điều 7, Điều 8</w:t>
      </w:r>
      <w:bookmarkEnd w:id="10"/>
      <w:r>
        <w:rPr>
          <w:rtl w:val="0"/>
        </w:rPr>
        <w:t xml:space="preserve"> và Phụ lục IV.</w:t>
      </w:r>
    </w:p>
    <w:p>
      <w:pPr>
        <w:bidi w:val="0"/>
        <w:spacing w:before="120" w:beforeAutospacing="0" w:after="280" w:afterAutospacing="1"/>
      </w:pPr>
      <w:r>
        <w:rPr>
          <w:rtl w:val="0"/>
        </w:rPr>
        <w:t xml:space="preserve">3. Bãi bỏ cụm từ “thanh tra” tại </w:t>
      </w:r>
      <w:bookmarkStart w:id="11" w:name="dc_5"/>
      <w:r>
        <w:rPr>
          <w:rtl w:val="0"/>
        </w:rPr>
        <w:t>điểm c khoản 1 Điều 10</w:t>
      </w:r>
      <w:bookmarkEnd w:id="11"/>
      <w:r>
        <w:rPr>
          <w:rtl w:val="0"/>
        </w:rPr>
        <w:t>.</w:t>
      </w:r>
    </w:p>
    <w:p>
      <w:pPr>
        <w:bidi w:val="0"/>
        <w:spacing w:before="120" w:beforeAutospacing="0" w:after="280" w:afterAutospacing="1"/>
      </w:pPr>
      <w:r>
        <w:rPr>
          <w:rtl w:val="0"/>
        </w:rPr>
        <w:t>4. Thay thế Phụ lục I, Phụ lục II và Phụ lục III ban hành kèm theo Nghị định số 86/2023/NĐ-CP bằng Phụ lục I, Phụ lục II và Phụ lục III ban hành kèm theo Nghị định này.</w:t>
      </w:r>
    </w:p>
    <w:p>
      <w:pPr>
        <w:bidi w:val="0"/>
        <w:spacing w:before="120" w:beforeAutospacing="0" w:after="280" w:afterAutospacing="1"/>
      </w:pPr>
      <w:bookmarkStart w:id="12" w:name="dieu_6"/>
      <w:r>
        <w:rPr>
          <w:b/>
          <w:bCs/>
          <w:rtl w:val="0"/>
        </w:rPr>
        <w:t>Điều 6. Điều khoản thi hành</w:t>
      </w:r>
      <w:bookmarkEnd w:id="12"/>
    </w:p>
    <w:p>
      <w:pPr>
        <w:bidi w:val="0"/>
        <w:spacing w:before="120" w:beforeAutospacing="0" w:after="280" w:afterAutospacing="1"/>
      </w:pPr>
      <w:r>
        <w:rPr>
          <w:rtl w:val="0"/>
        </w:rPr>
        <w:t>1. Nghị định này có hiệu lực thi hành từ ngày 01 tháng 10 năm 2026.</w:t>
      </w:r>
    </w:p>
    <w:p>
      <w:pPr>
        <w:bidi w:val="0"/>
        <w:spacing w:before="120" w:beforeAutospacing="0" w:after="280" w:afterAutospacing="1"/>
      </w:pPr>
      <w:r>
        <w:rPr>
          <w:rtl w:val="0"/>
        </w:rPr>
        <w:t>2. Đối với hồ sơ đề nghị xét tặng các danh hiệu quy định tại Nghị định số 86/2023/NĐ-CP đã được cơ quan có thẩm quyền thẩm định hồ sơ tiếp nhận trước ngày Nghị định này có hiệu lực thi hành thì thực hiện thẩm định, xét duyệt theo quy định tại Luật Thi đua, khen thưởng số 06/2022/QH15 và Nghị định số 86/2023/NĐ-CP; trường hợp hồ sơ được thẩm định mà việc áp dụng quy định tại Luật số 06/2026/QH16 và Nghị định này có lợi hơn cho tập thể, cá nhân, hộ gia đình thì áp dụng quy định tại Luật số 06/2026/QH16 và Nghị định này.</w:t>
      </w:r>
    </w:p>
    <w:p>
      <w:pPr>
        <w:bidi w:val="0"/>
        <w:spacing w:before="120" w:beforeAutospacing="0" w:after="280" w:afterAutospacing="1"/>
      </w:pPr>
      <w:r>
        <w:rPr>
          <w:rtl w:val="0"/>
        </w:rPr>
        <w:t>3. Bộ trưởng, Thủ trưởng cơ quan ngang bộ, Chủ tịch Ủy ban nhân dân tỉnh, thành phố và cơ quan,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TCCV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 w:name="chuong_pl_1"/>
      <w:r>
        <w:rPr>
          <w:b/>
          <w:bCs/>
          <w:sz w:val="24"/>
          <w:rtl w:val="0"/>
        </w:rPr>
        <w:t>PHỤ LỤC I</w:t>
      </w:r>
      <w:bookmarkEnd w:id="13"/>
    </w:p>
    <w:p>
      <w:pPr>
        <w:bidi w:val="0"/>
        <w:spacing w:before="120" w:beforeAutospacing="0" w:after="280" w:afterAutospacing="1"/>
        <w:jc w:val="center"/>
      </w:pPr>
      <w:bookmarkStart w:id="14" w:name="chuong_pl_1_name"/>
      <w:r>
        <w:rPr>
          <w:rtl w:val="0"/>
        </w:rPr>
        <w:t>KHUNG TIÊU CHUẨN DANH HIỆU GIA ĐÌNH VĂN HÓA</w:t>
      </w:r>
      <w:bookmarkEnd w:id="14"/>
      <w:r>
        <w:rPr>
          <w:rtl w:val="0"/>
        </w:rPr>
        <w:br/>
      </w:r>
      <w:r>
        <w:rPr>
          <w:i/>
          <w:iCs/>
          <w:rtl w:val="0"/>
        </w:rPr>
        <w:t>(Kèm theo Nghị định số 375/2026/NĐ-CP ngày 30 tháng 9 năm 2026 của Chính phủ)</w:t>
      </w:r>
    </w:p>
    <w:tbl>
      <w:tblPr>
        <w:tblW w:w="5000" w:type="pct"/>
        <w:jc w:val="left"/>
        <w:tblCellMar>
          <w:top w:w="0" w:type="dxa"/>
          <w:left w:w="0" w:type="dxa"/>
          <w:bottom w:w="0" w:type="dxa"/>
          <w:right w:w="0" w:type="dxa"/>
        </w:tblCellMar>
      </w:tblPr>
      <w:tblGrid>
        <w:gridCol w:w="2195"/>
        <w:gridCol w:w="6445"/>
      </w:tblGrid>
      <w:tr>
        <w:tblPrEx>
          <w:tblW w:w="5000" w:type="pct"/>
          <w:jc w:val="left"/>
          <w:tblCellMar>
            <w:top w:w="0" w:type="dxa"/>
            <w:left w:w="0" w:type="dxa"/>
            <w:bottom w:w="0" w:type="dxa"/>
            <w:right w:w="0" w:type="dxa"/>
          </w:tblCellMar>
        </w:tblPrEx>
        <w:trPr>
          <w:jc w:val="left"/>
        </w:trPr>
        <w:tc>
          <w:tcPr>
            <w:tcW w:w="1270" w:type="pct"/>
            <w:tcBorders>
              <w:top w:val="single" w:sz="8" w:space="0" w:color="auto"/>
              <w:left w:val="single" w:sz="8" w:space="0" w:color="auto"/>
              <w:bottom w:val="nil"/>
              <w:right w:val="nil"/>
            </w:tcBorders>
            <w:shd w:val="clear" w:color="auto" w:fill="auto"/>
            <w:tcMar>
              <w:top w:w="50" w:type="dxa"/>
              <w:left w:w="70" w:type="dxa"/>
              <w:bottom w:w="50" w:type="dxa"/>
              <w:right w:w="70" w:type="dxa"/>
            </w:tcMar>
            <w:vAlign w:val="center"/>
          </w:tcPr>
          <w:p>
            <w:pPr>
              <w:bidi w:val="0"/>
              <w:spacing w:before="120" w:beforeAutospacing="0" w:after="0" w:afterAutospacing="0"/>
              <w:jc w:val="center"/>
            </w:pPr>
            <w:r>
              <w:rPr>
                <w:b/>
                <w:bCs/>
                <w:rtl w:val="0"/>
              </w:rPr>
              <w:t>Tên tiêu chuẩn</w:t>
            </w: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vAlign w:val="center"/>
          </w:tcPr>
          <w:p>
            <w:pPr>
              <w:bidi w:val="0"/>
              <w:spacing w:before="120" w:beforeAutospacing="0" w:after="0" w:afterAutospacing="0"/>
              <w:jc w:val="center"/>
            </w:pPr>
            <w:r>
              <w:rPr>
                <w:b/>
                <w:bCs/>
                <w:rtl w:val="0"/>
              </w:rPr>
              <w:t>Khung tiêu chuẩn</w:t>
            </w:r>
          </w:p>
        </w:tc>
      </w:tr>
      <w:tr>
        <w:tblPrEx>
          <w:tblW w:w="5000" w:type="pct"/>
          <w:jc w:val="left"/>
          <w:tblCellMar>
            <w:top w:w="0" w:type="dxa"/>
            <w:left w:w="0" w:type="dxa"/>
            <w:bottom w:w="0" w:type="dxa"/>
            <w:right w:w="0" w:type="dxa"/>
          </w:tblCellMar>
        </w:tblPrEx>
        <w:trPr>
          <w:jc w:val="left"/>
        </w:trPr>
        <w:tc>
          <w:tcPr>
            <w:tcW w:w="1270" w:type="pct"/>
            <w:vMerge w:val="restart"/>
            <w:tcBorders>
              <w:top w:val="single" w:sz="8" w:space="0" w:color="auto"/>
              <w:left w:val="single" w:sz="8" w:space="0" w:color="auto"/>
              <w:bottom w:val="single" w:sz="8" w:space="0" w:color="auto"/>
              <w:right w:val="nil"/>
            </w:tcBorders>
            <w:shd w:val="clear" w:color="auto" w:fill="auto"/>
            <w:tcMar>
              <w:top w:w="50" w:type="dxa"/>
              <w:left w:w="70" w:type="dxa"/>
              <w:bottom w:w="50" w:type="dxa"/>
              <w:right w:w="70" w:type="dxa"/>
            </w:tcMar>
          </w:tcPr>
          <w:p>
            <w:pPr>
              <w:bidi w:val="0"/>
              <w:spacing w:before="120" w:beforeAutospacing="0" w:after="0" w:afterAutospacing="0"/>
            </w:pPr>
            <w:r>
              <w:rPr>
                <w:b/>
                <w:bCs/>
                <w:rtl w:val="0"/>
              </w:rPr>
              <w:t>I. Gương mẫu chấp hành tốt chủ trương của Đảng, chính sách, pháp luật của Nhà nước</w:t>
            </w: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Các thành viên trong gia đình chấp hành chủ trương, đường lối của Đảng, chính sách, pháp luật của Nhà nước và thực hiện đầy đủ nghĩa vụ công dân theo quy định.</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Thực hiện nếp sống văn minh trong việc cưới, việc tang và lễ hội theo quy định.</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Bảo đảm an ninh, trật tự, phòng cháy, chữa cháy theo quy định.</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Không gây tiếng ồn, độ rung vượt mức cho phép theo quy chuẩn kỹ thuật môi trường.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nil"/>
            </w:tcBorders>
            <w:shd w:val="clear" w:color="auto" w:fill="auto"/>
            <w:tcMar>
              <w:top w:w="50" w:type="dxa"/>
              <w:left w:w="70" w:type="dxa"/>
              <w:bottom w:w="50" w:type="dxa"/>
              <w:right w:w="70" w:type="dxa"/>
            </w:tcMar>
          </w:tcPr>
          <w:p>
            <w:pPr>
              <w:bidi w:val="0"/>
              <w:spacing w:before="120" w:beforeAutospacing="0" w:after="0" w:afterAutospacing="0"/>
            </w:pPr>
            <w:r>
              <w:rPr>
                <w:b/>
                <w:bCs/>
                <w:rtl w:val="0"/>
              </w:rPr>
              <w:t>II. Tích cực tham gia các phong trào thi đua lao động, sản xuất, học tập, bảo vệ an ninh, trật tự, an toàn xã hội của địa phương</w:t>
            </w: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Tham gia các hoạt động bảo vệ, phát huy giá trị di sản văn hóa, cảnh quan văn hóa phù hợp với điều kiện thực tế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Tham gia các hoạt động bảo vệ cảnh quan thiên nhiên và môi trường phù hợp với điều kiện thực tế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Tham gia các phong trào từ thiện, nhân đạo, đền ơn đáp nghĩa; khuyến học, khuyến tài và xây dựng gia đình học tập.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Có thành viên tham gia các hoạt động học tập, nâng cao hiểu biết về chuyển đổi số, kỹ năng số và sử dụng nền tảng, dịch vụ số phù hợp.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5. Tham gia các hoạt động sinh hoạt cộng đồng; các phong trào thi đua nhằm phát triển kinh tế, văn hóa - xã hội và các phong trào, hoạt động bảo vệ an ninh, trật tự, an toàn xã hội tại địa phương.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nil"/>
            </w:tcBorders>
            <w:shd w:val="clear" w:color="auto" w:fill="auto"/>
            <w:tcMar>
              <w:top w:w="50" w:type="dxa"/>
              <w:left w:w="70" w:type="dxa"/>
              <w:bottom w:w="50" w:type="dxa"/>
              <w:right w:w="70" w:type="dxa"/>
            </w:tcMar>
          </w:tcPr>
          <w:p>
            <w:pPr>
              <w:bidi w:val="0"/>
              <w:spacing w:before="120" w:beforeAutospacing="0" w:after="0" w:afterAutospacing="0"/>
            </w:pPr>
            <w:r>
              <w:rPr>
                <w:b/>
                <w:bCs/>
                <w:rtl w:val="0"/>
              </w:rPr>
              <w:t>III. Gia đình no ấm, tiến bộ, hạnh phúc, văn minh; thường xuyên gắn bó, đoàn kết, tương trợ, giúp đỡ trong cộng đồng</w:t>
            </w: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Các thành viên trong gia đình có ứng xử tôn trọng, bình đẳng, yêu thương, chia sẻ, phù hợp với Bộ tiêu chí ứng xử trong gia đình.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Chấp hành quy định của pháp luật và thực hiện các chính sách của Nhà nước về dân số, hôn nhân và gia đình.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nil"/>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Thực hiện tốt các mục tiêu về bình đẳng giới, phòng, chống bạo lực gia đình/bạo lực trên cơ sở giới.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Hộ gia đình có công trình vệ sinh, nơi tắm, thiết bị chứa nước hoặc hình thức tương tự hợp vệ sinh; thực hiện phân loại chất thải rắn sinh hoạt tại nguồn theo quy định; giữ gìn vệ sinh môi trường xung quanh nơi ở, xây dựng không gian sống sáng - xanh - sạch - đẹp phù hợp với loại hình nhà ở và điều kiện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nil"/>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5. Tương trợ, giúp đỡ mọi người trong cộng đồng khi khó khăn, hoạn nạn.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3730" w:type="pct"/>
            <w:tcBorders>
              <w:top w:val="single" w:sz="8" w:space="0" w:color="auto"/>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6. Gia đình duy trì việc tập luyện thể dục, thể thao phù hợp với độ tuổi, tình trạng sức khỏe và điều kiện thực tế của các thành viên.</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15" w:name="chuong_pl_2"/>
      <w:r>
        <w:rPr>
          <w:b/>
          <w:bCs/>
          <w:sz w:val="24"/>
          <w:rtl w:val="0"/>
        </w:rPr>
        <w:t>PHỤ LỤC II</w:t>
      </w:r>
      <w:bookmarkEnd w:id="15"/>
    </w:p>
    <w:p>
      <w:pPr>
        <w:bidi w:val="0"/>
        <w:spacing w:before="120" w:beforeAutospacing="0" w:after="280" w:afterAutospacing="1"/>
        <w:jc w:val="center"/>
      </w:pPr>
      <w:bookmarkStart w:id="16" w:name="chuong_pl_2_name"/>
      <w:r>
        <w:rPr>
          <w:rtl w:val="0"/>
        </w:rPr>
        <w:t>KHUNG TIÊU CHUẨN DANH HIỆU THÔN, TỔ DÂN PHỐ VĂN HÓA</w:t>
      </w:r>
      <w:bookmarkEnd w:id="16"/>
      <w:r>
        <w:rPr>
          <w:rtl w:val="0"/>
        </w:rPr>
        <w:t xml:space="preserve"> </w:t>
      </w:r>
      <w:r>
        <w:rPr>
          <w:rtl w:val="0"/>
        </w:rPr>
        <w:br/>
      </w:r>
      <w:r>
        <w:rPr>
          <w:i/>
          <w:iCs/>
          <w:rtl w:val="0"/>
        </w:rPr>
        <w:t>(Kèm theo Nghị định số 375/2026/NĐ-CP ngày 30 tháng 9 năm 2026 của Chính phủ)</w:t>
      </w:r>
    </w:p>
    <w:tbl>
      <w:tblPr>
        <w:tblW w:w="5000" w:type="pct"/>
        <w:jc w:val="left"/>
        <w:tblCellMar>
          <w:top w:w="0" w:type="dxa"/>
          <w:left w:w="0" w:type="dxa"/>
          <w:bottom w:w="0" w:type="dxa"/>
          <w:right w:w="0" w:type="dxa"/>
        </w:tblCellMar>
      </w:tblPr>
      <w:tblGrid>
        <w:gridCol w:w="2195"/>
        <w:gridCol w:w="6445"/>
      </w:tblGrid>
      <w:tr>
        <w:tblPrEx>
          <w:tblW w:w="5000" w:type="pct"/>
          <w:jc w:val="left"/>
          <w:tblCellMar>
            <w:top w:w="0" w:type="dxa"/>
            <w:left w:w="0" w:type="dxa"/>
            <w:bottom w:w="0" w:type="dxa"/>
            <w:right w:w="0" w:type="dxa"/>
          </w:tblCellMar>
        </w:tblPrEx>
        <w:trPr>
          <w:jc w:val="left"/>
        </w:trPr>
        <w:tc>
          <w:tcPr>
            <w:tcW w:w="1270" w:type="pct"/>
            <w:tcBorders>
              <w:top w:val="single" w:sz="8" w:space="0" w:color="auto"/>
              <w:left w:val="single" w:sz="8" w:space="0" w:color="auto"/>
              <w:bottom w:val="single" w:sz="8" w:space="0" w:color="auto"/>
              <w:right w:val="single" w:sz="8" w:space="0" w:color="auto"/>
            </w:tcBorders>
            <w:shd w:val="clear" w:color="auto" w:fill="auto"/>
            <w:tcMar>
              <w:top w:w="50" w:type="dxa"/>
              <w:left w:w="70" w:type="dxa"/>
              <w:bottom w:w="50" w:type="dxa"/>
              <w:right w:w="70" w:type="dxa"/>
            </w:tcMar>
            <w:vAlign w:val="center"/>
          </w:tcPr>
          <w:p>
            <w:pPr>
              <w:bidi w:val="0"/>
              <w:spacing w:before="120" w:beforeAutospacing="0" w:after="0" w:afterAutospacing="0"/>
              <w:jc w:val="center"/>
            </w:pPr>
            <w:r>
              <w:rPr>
                <w:b/>
                <w:bCs/>
                <w:rtl w:val="0"/>
              </w:rPr>
              <w:t>Tên tiêu chuẩn</w:t>
            </w:r>
          </w:p>
        </w:tc>
        <w:tc>
          <w:tcPr>
            <w:tcW w:w="3730" w:type="pct"/>
            <w:tcBorders>
              <w:top w:val="single" w:sz="8" w:space="0" w:color="auto"/>
              <w:left w:val="nil"/>
              <w:bottom w:val="single" w:sz="8" w:space="0" w:color="auto"/>
              <w:right w:val="single" w:sz="8" w:space="0" w:color="auto"/>
            </w:tcBorders>
            <w:shd w:val="clear" w:color="auto" w:fill="auto"/>
            <w:tcMar>
              <w:top w:w="50" w:type="dxa"/>
              <w:left w:w="70" w:type="dxa"/>
              <w:bottom w:w="50" w:type="dxa"/>
              <w:right w:w="70" w:type="dxa"/>
            </w:tcMar>
            <w:vAlign w:val="center"/>
          </w:tcPr>
          <w:p>
            <w:pPr>
              <w:bidi w:val="0"/>
              <w:spacing w:before="120" w:beforeAutospacing="0" w:after="0" w:afterAutospacing="0"/>
              <w:jc w:val="center"/>
            </w:pPr>
            <w:r>
              <w:rPr>
                <w:b/>
                <w:bCs/>
                <w:rtl w:val="0"/>
              </w:rPr>
              <w:t>Khung tiêu chuẩn</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 Đời sống kinh tế ổn định và phát triển</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Tỷ lệ người trong độ tuổi lao động có việc làm.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Tỷ lệ hộ nghèo, hộ cận nghèo giảm so với năm trước hoặc duy trì kết quả không còn hộ nghèo, hộ cận nghèo</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Bảo tồn, phát triển nghề truyền thống, làng nghề gắn với gìn giữ bản sắc văn hóa, bảo vệ môi trường hoặc có hoạt động ứng dụng khoa học, công nghệ và đổi mới sáng tạo phục vụ phát triển kinh tế - xã hội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Tham gia, hưởng ứng các phong trào phát triển kinh tế, văn hóa - xã hội do địa phương tổ chức.</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II. Đời sống văn hóa, tinh thần lành mạnh, phong phú</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Thiết chế văn hóa, thể thao cơ sở, không gian đọc, phòng đọc cơ sở hoặc địa điểm phục vụ sinh hoạt văn hóa, thể thao cộng đồng phù hợp với điều kiện thực tiễn của thôn, tổ dân phố; có thể được bố trí riêng hoặc sử dụng chung; bảo đảm hoạt động thường xuyên, hiệu quả.</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Tổ chức hoạt động văn hóa, văn nghệ, thể dục, thể thao, vui chơi, giải trí lành mạnh.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Tỷ lệ hộ gia đình thực hiện nếp sống văn minh trong việc cưới, việc tang, lễ hội.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Thực hiện tốt công tác hòa giải ở cơ sở; công tác phòng, chống tệ nạn xã hội.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5. Bảo tồn, phát huy các giá trị di sản văn hóa, các hình thức sinh hoạt văn hóa, các môn thể thao dân tộc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6. Tổ chức tự quản của cộng đồng dân cư được Ủy ban nhân dân cấp xã quyết định giao quản lý, vận hành, khai thác, sử dụng thiết chế văn hóa, thể thao cơ sở theo quy định.</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III. Môi trường an toàn, thân thiện, cảnh quan sạch đẹp</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Hoạt động sản xuất, kinh doanh đáp ứng các quy định của pháp luật về bảo vệ môi trường.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Thực hiện việc mai táng, hỏa táng (nếu có) đúng quy định của pháp luật và theo quy hoạch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Các địa điểm vui chơi công cộng được tôn tạo, bảo vệ và giữ gìn sạch sẽ.</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Tổ chức cộng đồng tham gia tự quản trong việc giữ gìn vệ sinh môi trường, phòng, chống dịch bệnh; thực hiện phân loại chất thải rắn sinh hoạt tại nguồn, thu gom, chuyển giao chất thải theo quy định của pháp luật và phù hợp với điều kiện thực tế của địa phương.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IV. Chấp hành tốt chủ trương của Đảng, chính sách, pháp luật của Nhà nước; giữ vững trật tự, an toàn xã hội; tích cực tham gia các phong trào thi đua của địa phương</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Tích cực tham gia tuyên truyền, phổ biến, tổ chức thực hiện nghiêm các chủ trương của Đảng, chính sách, pháp luật của Nhà nước; tăng cường ứng dụng các nền tảng, phương tiện và hình thức truyền thông số trong hoạt động tuyên truyền.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Tổ chức triển khai các phong trào thi đua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Các tổ chức tự quản ở cộng đồng hoạt động có hiệu quả.</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Tỷ lệ hộ gia đình trên địa bàn đạt danh hiệu “Gia đình văn hóa”.</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5. Thực hiện tốt công tác phòng, chống bạo lực gia đình/bạo lực trên cơ sở giới.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6. Xây dựng và thực hiện hương ước, quy ước của cộng đồng dân cư phù hợp với quy định của pháp luật, góp phần bảo tồn, phát huy giá trị văn hóa truyền thống và xây dựng đời sống văn hóa ở cộng đồng.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V. Có tinh thần đoàn kết, tương trợ, giúp đỡ lẫn nhau trong cộng đồng</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Thực hiện các Cuộc vận động, Phong trào thi đua yêu nước do trung ương và địa phương phát động.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Tổ chức, vận động thực hiện các hoạt động chăm sóc, hỗ trợ người cao tuổi, trẻ em, người có công, người khuyết tật trên địa bàn.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Triển khai hiệu quả các mô hình khuyến học, khuyến tài, học tập suốt đời, văn hóa, gia đình tại khu dân cư; xây dựng cộng đồng văn hóa cơ sở giàu bản sắc, sáng - xanh - sạch - đẹp, gắn kết xây dựng văn hóa với bảo vệ môi trường sinh thái.</w:t>
            </w:r>
          </w:p>
        </w:tc>
      </w:tr>
    </w:tbl>
    <w:p>
      <w:pPr>
        <w:bidi w:val="0"/>
        <w:spacing w:before="120" w:beforeAutospacing="0" w:after="280" w:afterAutospacing="1"/>
        <w:jc w:val="center"/>
      </w:pPr>
      <w:r>
        <w:rPr>
          <w:rtl w:val="0"/>
        </w:rPr>
        <w:t> </w:t>
      </w:r>
    </w:p>
    <w:p>
      <w:pPr>
        <w:bidi w:val="0"/>
        <w:spacing w:before="120" w:beforeAutospacing="0" w:after="280" w:afterAutospacing="1"/>
        <w:jc w:val="center"/>
        <w:rPr>
          <w:rtl w:val="0"/>
        </w:rPr>
      </w:pPr>
      <w:bookmarkStart w:id="17" w:name="chuong_pl_3"/>
      <w:r>
        <w:rPr>
          <w:b/>
          <w:bCs/>
          <w:sz w:val="24"/>
          <w:rtl w:val="0"/>
        </w:rPr>
        <w:t>PHỤ LỤC III</w:t>
      </w:r>
      <w:bookmarkEnd w:id="17"/>
    </w:p>
    <w:p>
      <w:pPr>
        <w:bidi w:val="0"/>
        <w:spacing w:before="120" w:beforeAutospacing="0" w:after="280" w:afterAutospacing="1"/>
        <w:jc w:val="center"/>
        <w:rPr>
          <w:rtl w:val="0"/>
        </w:rPr>
      </w:pPr>
      <w:bookmarkStart w:id="18" w:name="chuong_pl_3_name"/>
      <w:r>
        <w:rPr>
          <w:rtl w:val="0"/>
        </w:rPr>
        <w:t>KHUNG TIÊU CHUẨN DANH HIỆU XÃ, PHƯỜNG, ĐẶC KHU TIÊU BIỂU</w:t>
      </w:r>
      <w:bookmarkEnd w:id="18"/>
      <w:r>
        <w:rPr>
          <w:rtl w:val="0"/>
        </w:rPr>
        <w:t xml:space="preserve"> </w:t>
      </w:r>
      <w:r>
        <w:rPr>
          <w:rtl w:val="0"/>
        </w:rPr>
        <w:br/>
      </w:r>
      <w:r>
        <w:rPr>
          <w:i/>
          <w:iCs/>
          <w:rtl w:val="0"/>
        </w:rPr>
        <w:t>(Kèm theo Nghị định số 375/2026/NĐ-CP</w:t>
      </w:r>
      <w:r>
        <w:rPr>
          <w:rtl w:val="0"/>
        </w:rPr>
        <w:t xml:space="preserve"> </w:t>
      </w:r>
      <w:r>
        <w:rPr>
          <w:i/>
          <w:iCs/>
          <w:rtl w:val="0"/>
        </w:rPr>
        <w:t>ngày 30 tháng</w:t>
      </w:r>
      <w:r>
        <w:rPr>
          <w:rtl w:val="0"/>
        </w:rPr>
        <w:t xml:space="preserve"> </w:t>
      </w:r>
      <w:r>
        <w:rPr>
          <w:i/>
          <w:iCs/>
          <w:rtl w:val="0"/>
        </w:rPr>
        <w:t>9 năm 2026 của Chính phủ)</w:t>
      </w:r>
    </w:p>
    <w:tbl>
      <w:tblPr>
        <w:tblW w:w="5000" w:type="pct"/>
        <w:jc w:val="left"/>
        <w:tblCellMar>
          <w:top w:w="0" w:type="dxa"/>
          <w:left w:w="0" w:type="dxa"/>
          <w:bottom w:w="0" w:type="dxa"/>
          <w:right w:w="0" w:type="dxa"/>
        </w:tblCellMar>
      </w:tblPr>
      <w:tblGrid>
        <w:gridCol w:w="2195"/>
        <w:gridCol w:w="6445"/>
      </w:tblGrid>
      <w:tr>
        <w:tblPrEx>
          <w:tblW w:w="5000" w:type="pct"/>
          <w:jc w:val="left"/>
          <w:tblCellMar>
            <w:top w:w="0" w:type="dxa"/>
            <w:left w:w="0" w:type="dxa"/>
            <w:bottom w:w="0" w:type="dxa"/>
            <w:right w:w="0" w:type="dxa"/>
          </w:tblCellMar>
        </w:tblPrEx>
        <w:trPr>
          <w:jc w:val="left"/>
        </w:trPr>
        <w:tc>
          <w:tcPr>
            <w:tcW w:w="1270" w:type="pct"/>
            <w:tcBorders>
              <w:top w:val="single" w:sz="8" w:space="0" w:color="auto"/>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jc w:val="center"/>
            </w:pPr>
            <w:r>
              <w:rPr>
                <w:b/>
                <w:bCs/>
                <w:rtl w:val="0"/>
              </w:rPr>
              <w:t>Tên tiêu chuẩn</w:t>
            </w:r>
          </w:p>
        </w:tc>
        <w:tc>
          <w:tcPr>
            <w:tcW w:w="3730" w:type="pct"/>
            <w:tcBorders>
              <w:top w:val="single" w:sz="8" w:space="0" w:color="auto"/>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jc w:val="center"/>
            </w:pPr>
            <w:r>
              <w:rPr>
                <w:b/>
                <w:bCs/>
                <w:rtl w:val="0"/>
              </w:rPr>
              <w:t>Khung tiêu chuẩn</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 Thực hiện tốt các nhiệm vụ kinh tế - xã hội, quốc phòng, an ninh, trật tự, an toàn xã hội được giao</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Bảo đảm trật tự, an toàn xã hội, đấu tranh, phòng, chống tội phạm và các hành vi vi phạm pháp luật khác.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Có hoạt động hợp tác, liên kết trong phát triển kinh tế - xã hội với các địa phương khác.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Thực hiện tốt công tác quân sự, quốc phòng của địa phương.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II. Đời sống kinh tế ổn định và từng bước phát triển</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Thu nhập bình quân đầu người bằng hoặc cao hơn năm trước.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Tỷ lệ hộ nghèo đa chiều giảm so với năm trước hoặc duy trì kết quả không còn hộ nghèo đa chiều.</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Bảo đảm an toàn điện trên địa bàn theo quy định của pháp luật về điện lực.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Tổ chức, quản lý, sử dụng đúng mục đích, hiệu quả các công trình công cộng thuộc phạm vi quản lý hoặc được phân cấp quản lý; phối hợp với cơ quan, đơn vị có liên quan bảo đảm điều kiện hoạt động, an toàn, cảnh quan, môi trường đối với trường học, trạm y tế trên địa bàn.</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III. Đời sống văn hóa, tinh thần lành mạnh, phong phú</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Tỷ lệ thôn, tổ dân phố đạt danh hiệu “Thôn, tổ dân phố văn hóa” trong năm.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Thiết chế văn hóa, thể thao có cơ sở vật chất, trang thiết bị bảo đảm; được quản lý, sử dụng đúng mục đích, hoạt động thường xuyên, hiệu quả.</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Tỷ lệ hộ gia đình thực hiện nếp sống văn minh trong việc cưới, việc tang, lễ hội.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Bảo tồn, phát huy các giá trị di sản văn hóa và các hình thức sinh hoạt văn hóa, các môn thể thao dân tộc và trò chơi của địa phương.</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IV. Môi trường an toàn, thân thiện, cảnh quan sạch đẹp</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Thực hiện các biện pháp bảo vệ môi trường, phòng cháy, chữa cháy, cứu nạn, cứu hộ theo quy định; tổ chức phân loại chất thải rắn sinh hoạt tại nguồn; bố trí điểm tập kết, thu gom đáp ứng yêu cầu kỹ thuật theo quy định của pháp luật.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Nghĩa trang, cơ sở hỏa táng (nếu có) đáp ứng các quy định của pháp luật và theo quy hoạch tại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Tỷ lệ hộ gia đình được sử dụng nước sạch đáp ứng quy chuẩn hoặc nước hợp vệ sinh theo quy định của pháp luật, phù hợp với điều kiện thực tế của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Cảnh quan, không gian xanh - sạch - đẹp, an toàn; không để xảy ra tồn đọng nước thải sinh hoạt tại khu dân cư tập trung; bảo vệ môi trường sinh thái và giữ gìn bản sắc văn hóa trong xây dựng hạ tầng, thiết chế văn hóa cơ sở.</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V. Chấp hành tốt chủ trương của Đảng, chính sách, pháp luật của Nhà nước</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Tuyên truyền, tổ chức thực hiện nghiêm các chủ trương của Đảng, chính sách, pháp luật của Nhà nước; tăng cường ứng dụng các nền tảng, phương tiện và hình thức truyền thông số trong hoạt động tuyên truyền.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Triển khai dịch vụ công trực tuyến phục vụ người dân, doanh nghiệp theo đúng quy định.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Tổ chức thực hiện quy chế dân chủ ở cơ sở, tạo điều kiện để Nhân dân tham gia giám sát việc thực hiện chính sách, pháp luật của chính quyền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Xã, phường, đặc khu đạt chuẩn tiếp cận pháp luật.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5. Thực hiện việc tiếp công dân, giải quyết khiếu nại, tố cáo theo quy định pháp luật.</w:t>
            </w:r>
          </w:p>
        </w:tc>
      </w:tr>
      <w:tr>
        <w:tblPrEx>
          <w:tblW w:w="5000" w:type="pct"/>
          <w:jc w:val="left"/>
          <w:tblCellMar>
            <w:top w:w="0" w:type="dxa"/>
            <w:left w:w="0" w:type="dxa"/>
            <w:bottom w:w="0" w:type="dxa"/>
            <w:right w:w="0" w:type="dxa"/>
          </w:tblCellMar>
        </w:tblPrEx>
        <w:trPr>
          <w:jc w:val="left"/>
        </w:trPr>
        <w:tc>
          <w:tcPr>
            <w:tcW w:w="1270" w:type="pct"/>
            <w:vMerge w:val="restart"/>
            <w:tcBorders>
              <w:top w:val="nil"/>
              <w:left w:val="single" w:sz="8" w:space="0" w:color="auto"/>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b/>
                <w:bCs/>
                <w:rtl w:val="0"/>
              </w:rPr>
              <w:t>VI. Sự hài lòng của tổ chức, cá nhân đối với hoạt động của chính quyền địa phương</w:t>
            </w: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1. Tỷ lệ hài lòng của tổ chức, cá nhân đối với kết quả giải quyết thủ tục hành chính, cung cấp dịch vụ công và tinh thần, thái độ phục vụ của cán bộ, công chức, viên chức.</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2. Tỷ lệ hài lòng của tổ chức, cá nhân đối với việc thực hiện dân chủ ở cơ sở, bảo đảm quyền tham gia, đóng góp ý kiến và giám sát hoạt động của chính quyền địa phương.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3. Tỷ lệ hài lòng của tổ chức, cá nhân đối với kết quả quản lý nhà nước về bảo vệ môi trường và xây dựng cảnh quan xanh - sạch - đẹp trên địa bàn.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730" w:type="pct"/>
            <w:tcBorders>
              <w:top w:val="nil"/>
              <w:left w:val="nil"/>
              <w:bottom w:val="single" w:sz="8" w:space="0" w:color="auto"/>
              <w:right w:val="single" w:sz="8" w:space="0" w:color="auto"/>
            </w:tcBorders>
            <w:shd w:val="clear" w:color="auto" w:fill="auto"/>
            <w:tcMar>
              <w:top w:w="50" w:type="dxa"/>
              <w:left w:w="70" w:type="dxa"/>
              <w:bottom w:w="50" w:type="dxa"/>
              <w:right w:w="70" w:type="dxa"/>
            </w:tcMar>
          </w:tcPr>
          <w:p>
            <w:pPr>
              <w:bidi w:val="0"/>
              <w:spacing w:before="120" w:beforeAutospacing="0" w:after="0" w:afterAutospacing="0"/>
            </w:pPr>
            <w:r>
              <w:rPr>
                <w:rtl w:val="0"/>
              </w:rPr>
              <w:t>4. Tỷ lệ hài lòng của tổ chức, cá nhân đối với kết quả bảo đảm an ninh, trật tự, an toàn xã hội trên địa bàn.</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