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2916"/>
        <w:gridCol w:w="5724"/>
      </w:tblGrid>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 xml:space="preserve">ỦY BAN NHÂN DÂN </w:t>
            </w:r>
            <w:r>
              <w:rPr>
                <w:b/>
                <w:bCs/>
                <w:rtl w:val="0"/>
              </w:rPr>
              <w:br/>
            </w:r>
            <w:r>
              <w:rPr>
                <w:b/>
                <w:bCs/>
                <w:rtl w:val="0"/>
              </w:rPr>
              <w:t>THÀNH PHỐ ĐÀ NẴNG</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3967/QĐ-UBND</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Đà Nẵng, ngày 04 tháng 9 năm 2026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QUYẾT ĐỊNH</w:t>
      </w:r>
      <w:bookmarkEnd w:id="0"/>
      <w:r>
        <w:rPr>
          <w:b/>
          <w:bCs/>
          <w:sz w:val="24"/>
          <w:rtl w:val="0"/>
        </w:rPr>
        <w:t xml:space="preserve"> </w:t>
      </w:r>
    </w:p>
    <w:p>
      <w:pPr>
        <w:bidi w:val="0"/>
        <w:spacing w:before="120" w:beforeAutospacing="0" w:after="280" w:afterAutospacing="1"/>
        <w:jc w:val="center"/>
      </w:pPr>
      <w:bookmarkStart w:id="1" w:name="loai_1_name"/>
      <w:r>
        <w:rPr>
          <w:rtl w:val="0"/>
        </w:rPr>
        <w:t>BAN HÀNH QUY CHẾ QUẢN LÝ VÀ VẬN HÀNH KHO LƯU TRỮ SỐ THÀNH PHỐ ĐÀ NẴNG</w:t>
      </w:r>
      <w:bookmarkEnd w:id="1"/>
    </w:p>
    <w:p>
      <w:pPr>
        <w:bidi w:val="0"/>
        <w:spacing w:before="120" w:beforeAutospacing="0" w:after="280" w:afterAutospacing="1"/>
        <w:jc w:val="center"/>
      </w:pPr>
      <w:r>
        <w:rPr>
          <w:b/>
          <w:bCs/>
          <w:sz w:val="24"/>
          <w:rtl w:val="0"/>
        </w:rPr>
        <w:t>ỦY BAN NHÂN DÂN THÀNH PHỐ ĐÀ NẴNG</w:t>
      </w:r>
    </w:p>
    <w:p>
      <w:pPr>
        <w:bidi w:val="0"/>
        <w:spacing w:before="120" w:beforeAutospacing="0" w:after="280" w:afterAutospacing="1"/>
      </w:pPr>
      <w:r>
        <w:rPr>
          <w:i/>
          <w:iCs/>
          <w:rtl w:val="0"/>
        </w:rPr>
        <w:t xml:space="preserve">Căn cứ Luật Tổ chức chính quyền địa phương số 72/2025/QH15; </w:t>
      </w:r>
    </w:p>
    <w:p>
      <w:pPr>
        <w:bidi w:val="0"/>
        <w:spacing w:before="120" w:beforeAutospacing="0" w:after="280" w:afterAutospacing="1"/>
      </w:pPr>
      <w:r>
        <w:rPr>
          <w:i/>
          <w:iCs/>
          <w:rtl w:val="0"/>
        </w:rPr>
        <w:t>Căn cứ Luật Giao dịch điện tử số 20/2023/QH15;</w:t>
      </w:r>
    </w:p>
    <w:p>
      <w:pPr>
        <w:bidi w:val="0"/>
        <w:spacing w:before="120" w:beforeAutospacing="0" w:after="280" w:afterAutospacing="1"/>
      </w:pPr>
      <w:r>
        <w:rPr>
          <w:i/>
          <w:iCs/>
          <w:rtl w:val="0"/>
        </w:rPr>
        <w:t xml:space="preserve">Căn cứ Luật Lưu trữ số 33/2024/QH15; </w:t>
      </w:r>
    </w:p>
    <w:p>
      <w:pPr>
        <w:bidi w:val="0"/>
        <w:spacing w:before="120" w:beforeAutospacing="0" w:after="280" w:afterAutospacing="1"/>
      </w:pPr>
      <w:r>
        <w:rPr>
          <w:i/>
          <w:iCs/>
          <w:rtl w:val="0"/>
        </w:rPr>
        <w:t xml:space="preserve">Căn cứ Luật Dữ liệu số 60/2024/QH15; </w:t>
      </w:r>
    </w:p>
    <w:p>
      <w:pPr>
        <w:bidi w:val="0"/>
        <w:spacing w:before="120" w:beforeAutospacing="0" w:after="280" w:afterAutospacing="1"/>
      </w:pPr>
      <w:r>
        <w:rPr>
          <w:i/>
          <w:iCs/>
          <w:rtl w:val="0"/>
        </w:rPr>
        <w:t xml:space="preserve">Căn cứ Luật Bảo vệ dữ liệu cá nhân số 91/2025/QH15; </w:t>
      </w:r>
    </w:p>
    <w:p>
      <w:pPr>
        <w:bidi w:val="0"/>
        <w:spacing w:before="120" w:beforeAutospacing="0" w:after="280" w:afterAutospacing="1"/>
      </w:pPr>
      <w:r>
        <w:rPr>
          <w:i/>
          <w:iCs/>
          <w:rtl w:val="0"/>
        </w:rPr>
        <w:t xml:space="preserve">Căn cứ Luật An ninh mạng số 116/2025/QH15; </w:t>
      </w:r>
    </w:p>
    <w:p>
      <w:pPr>
        <w:bidi w:val="0"/>
        <w:spacing w:before="120" w:beforeAutospacing="0" w:after="280" w:afterAutospacing="1"/>
      </w:pPr>
      <w:r>
        <w:rPr>
          <w:i/>
          <w:iCs/>
          <w:rtl w:val="0"/>
        </w:rPr>
        <w:t xml:space="preserve">Căn cứ Luật Bảo vệ bí mật Nhà nước số 117/2025/QH15; </w:t>
      </w:r>
    </w:p>
    <w:p>
      <w:pPr>
        <w:bidi w:val="0"/>
        <w:spacing w:before="120" w:beforeAutospacing="0" w:after="280" w:afterAutospacing="1"/>
      </w:pPr>
      <w:r>
        <w:rPr>
          <w:i/>
          <w:iCs/>
          <w:rtl w:val="0"/>
        </w:rPr>
        <w:t>Căn cứ Luật Chuyển đổi số số 148/2025/QH15;</w:t>
      </w:r>
    </w:p>
    <w:p>
      <w:pPr>
        <w:bidi w:val="0"/>
        <w:spacing w:before="120" w:beforeAutospacing="0" w:after="280" w:afterAutospacing="1"/>
      </w:pPr>
      <w:r>
        <w:rPr>
          <w:i/>
          <w:iCs/>
          <w:rtl w:val="0"/>
        </w:rPr>
        <w:t xml:space="preserve">Căn cứ Nghị định số 63/2026/NĐ-CP ngày 28/02/2026 của Chính phủ quy định chi tiết một số điều và biện pháp thi hành Luật Bảo vệ bí mật Nhà nước; </w:t>
      </w:r>
    </w:p>
    <w:p>
      <w:pPr>
        <w:bidi w:val="0"/>
        <w:spacing w:before="120" w:beforeAutospacing="0" w:after="280" w:afterAutospacing="1"/>
      </w:pPr>
      <w:r>
        <w:rPr>
          <w:i/>
          <w:iCs/>
          <w:rtl w:val="0"/>
        </w:rPr>
        <w:t>Căn cứ Nghị định số 165/2025/NĐ-CP ngày 30 tháng 6 năm 2025 của Chính phủ quy định chi tiết và biện pháp thi hành Luật Dữ liệu;</w:t>
      </w:r>
    </w:p>
    <w:p>
      <w:pPr>
        <w:bidi w:val="0"/>
        <w:spacing w:before="120" w:beforeAutospacing="0" w:after="280" w:afterAutospacing="1"/>
      </w:pPr>
      <w:r>
        <w:rPr>
          <w:i/>
          <w:iCs/>
          <w:rtl w:val="0"/>
        </w:rPr>
        <w:t xml:space="preserve">Căn cứ Nghị định số 113/2025/NĐ-CP ngày 03 tháng 6 năm 2025 của Chính phủ quy định chi tiết thi hành một số điều của Luật Lưu trữ; </w:t>
      </w:r>
    </w:p>
    <w:p>
      <w:pPr>
        <w:bidi w:val="0"/>
        <w:spacing w:before="120" w:beforeAutospacing="0" w:after="280" w:afterAutospacing="1"/>
      </w:pPr>
      <w:r>
        <w:rPr>
          <w:i/>
          <w:iCs/>
          <w:rtl w:val="0"/>
        </w:rPr>
        <w:t xml:space="preserve">Căn cứ Nghị định số 194/2025/NĐ-CP ngày 03 tháng 7 năm 2025 của Chính phủ quy định chi tiết một số điều của Luật Giao dịch điện tử về cơ sở dữ liệu quốc gia, kết nối và chia sẻ dữ liệu, dữ liệu mở phục vụ giao dịch điện tử của cơ quan nhà nước; </w:t>
      </w:r>
    </w:p>
    <w:p>
      <w:pPr>
        <w:bidi w:val="0"/>
        <w:spacing w:before="120" w:beforeAutospacing="0" w:after="280" w:afterAutospacing="1"/>
      </w:pPr>
      <w:r>
        <w:rPr>
          <w:i/>
          <w:iCs/>
          <w:rtl w:val="0"/>
        </w:rPr>
        <w:t xml:space="preserve">Căn cứ Nghị định số 278/2025/NĐ-CP ngày 22 tháng 10 năm 2025 của Chính phủ quy định về kết nối, chia sẻ dữ liệu bắt buộc giữa các cơ quan thuộc hệ thống chính trị; </w:t>
      </w:r>
    </w:p>
    <w:p>
      <w:pPr>
        <w:bidi w:val="0"/>
        <w:spacing w:before="120" w:beforeAutospacing="0" w:after="280" w:afterAutospacing="1"/>
      </w:pPr>
      <w:r>
        <w:rPr>
          <w:i/>
          <w:iCs/>
          <w:rtl w:val="0"/>
        </w:rPr>
        <w:t xml:space="preserve">Căn cứ Nghị định số 356/2025/NĐ-CP ngày 31/12/2025 của Chính phủ quy định chi tiết một số điều và biện pháp thi hành Luật Bảo vệ dữ liệu cá nhân. </w:t>
      </w:r>
    </w:p>
    <w:p>
      <w:pPr>
        <w:bidi w:val="0"/>
        <w:spacing w:before="120" w:beforeAutospacing="0" w:after="280" w:afterAutospacing="1"/>
      </w:pPr>
      <w:r>
        <w:rPr>
          <w:i/>
          <w:iCs/>
          <w:rtl w:val="0"/>
        </w:rPr>
        <w:t xml:space="preserve">Căn cứ Quyết định số 749/QĐ-TTg ngày 03/6/2020 của Thủ tướng Chính phủ phê duyệt Chương trình Chuyển đổi số quốc gia đến năm 2025, định hướng đến năm 2030; </w:t>
      </w:r>
    </w:p>
    <w:p>
      <w:pPr>
        <w:bidi w:val="0"/>
        <w:spacing w:before="120" w:beforeAutospacing="0" w:after="280" w:afterAutospacing="1"/>
      </w:pPr>
      <w:r>
        <w:rPr>
          <w:i/>
          <w:iCs/>
          <w:rtl w:val="0"/>
        </w:rPr>
        <w:t>Căn cứ Quyết định số 1132/QĐ-TTg ngày 24/6/2026 của Thủ tướng Chính phủ ban hành Tiêu chí và Danh mục nền tảng số dùng chung quốc gia trong các cơ quan thuộc hệ thống chính trị;</w:t>
      </w:r>
    </w:p>
    <w:p>
      <w:pPr>
        <w:bidi w:val="0"/>
        <w:spacing w:before="120" w:beforeAutospacing="0" w:after="280" w:afterAutospacing="1"/>
      </w:pPr>
      <w:r>
        <w:rPr>
          <w:i/>
          <w:iCs/>
          <w:rtl w:val="0"/>
        </w:rPr>
        <w:t>Căn cứ Thông tư số 05/2025/TT-BNV ngày 14/5/2025 của Bộ Nội vụ quy định nghiệp vụ lưu trữ tài liệu số;</w:t>
      </w:r>
    </w:p>
    <w:p>
      <w:pPr>
        <w:bidi w:val="0"/>
        <w:spacing w:before="120" w:beforeAutospacing="0" w:after="280" w:afterAutospacing="1"/>
      </w:pPr>
      <w:r>
        <w:rPr>
          <w:i/>
          <w:iCs/>
          <w:rtl w:val="0"/>
        </w:rPr>
        <w:t>Theo đề nghị của Giám đốc Sở Nội vụ thành phố Đà Nẵng tại Tờ trình số 7826/TTr-SNV ngày 14 tháng 8 năm 2026.</w:t>
      </w:r>
    </w:p>
    <w:p>
      <w:pPr>
        <w:bidi w:val="0"/>
        <w:spacing w:before="120" w:beforeAutospacing="0" w:after="280" w:afterAutospacing="1"/>
        <w:jc w:val="center"/>
      </w:pPr>
      <w:r>
        <w:rPr>
          <w:b/>
          <w:bCs/>
          <w:sz w:val="24"/>
          <w:rtl w:val="0"/>
        </w:rPr>
        <w:t>QUYẾT ĐỊNH:</w:t>
      </w:r>
    </w:p>
    <w:p>
      <w:pPr>
        <w:bidi w:val="0"/>
        <w:spacing w:before="120" w:beforeAutospacing="0" w:after="280" w:afterAutospacing="1"/>
      </w:pPr>
      <w:bookmarkStart w:id="2" w:name="dieu_1"/>
      <w:r>
        <w:rPr>
          <w:b/>
          <w:bCs/>
          <w:rtl w:val="0"/>
        </w:rPr>
        <w:t>Điều 1.</w:t>
      </w:r>
      <w:r>
        <w:rPr>
          <w:rtl w:val="0"/>
        </w:rPr>
        <w:t xml:space="preserve"> Ban hành kèm theo Quyết định này Quy chế quản lý và vận hành Kho Lưu trữ số thành phố Đà Nẵng.</w:t>
      </w:r>
      <w:bookmarkEnd w:id="2"/>
    </w:p>
    <w:p>
      <w:pPr>
        <w:bidi w:val="0"/>
        <w:spacing w:before="120" w:beforeAutospacing="0" w:after="280" w:afterAutospacing="1"/>
      </w:pPr>
      <w:bookmarkStart w:id="3" w:name="dieu_2"/>
      <w:r>
        <w:rPr>
          <w:b/>
          <w:bCs/>
          <w:rtl w:val="0"/>
        </w:rPr>
        <w:t>Điều 2.</w:t>
      </w:r>
      <w:r>
        <w:rPr>
          <w:rtl w:val="0"/>
        </w:rPr>
        <w:t xml:space="preserve"> Quyết định này có hiệu lực thi hành kể từ ngày ký.</w:t>
      </w:r>
      <w:bookmarkEnd w:id="3"/>
    </w:p>
    <w:p>
      <w:pPr>
        <w:bidi w:val="0"/>
        <w:spacing w:before="120" w:beforeAutospacing="0" w:after="280" w:afterAutospacing="1"/>
      </w:pPr>
      <w:bookmarkStart w:id="4" w:name="dieu_3"/>
      <w:r>
        <w:rPr>
          <w:b/>
          <w:bCs/>
          <w:rtl w:val="0"/>
        </w:rPr>
        <w:t xml:space="preserve">Điều 3. </w:t>
      </w:r>
      <w:r>
        <w:rPr>
          <w:rtl w:val="0"/>
        </w:rPr>
        <w:t>Chánh Văn phòng Ủy ban nhân dân thành phố, Giám đốc Sở Nội vụ, Thủ trưởng các sở, ban, ngành, đơn vị sự nghiệp thuộc UBND thành phố; Chủ tịch Ủy ban nhân dân các xã, phường, đặc khu và các tổ chức, cá nhân có liên quan chịu trách nhiệm thi hành Quyết định này./.</w:t>
      </w:r>
      <w:bookmarkEnd w:id="4"/>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321"/>
        <w:gridCol w:w="4319"/>
      </w:tblGrid>
      <w:tr>
        <w:tblPrEx>
          <w:tblW w:w="5000" w:type="pct"/>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b/>
                <w:bCs/>
                <w:i/>
                <w:iCs/>
                <w:rtl w:val="0"/>
              </w:rPr>
              <w:br/>
            </w:r>
            <w:r>
              <w:rPr>
                <w:b/>
                <w:bCs/>
                <w:i/>
                <w:iCs/>
                <w:rtl w:val="0"/>
              </w:rPr>
              <w:t>Nơi nhận:</w:t>
            </w:r>
            <w:r>
              <w:rPr>
                <w:b/>
                <w:bCs/>
                <w:i/>
                <w:iCs/>
                <w:rtl w:val="0"/>
              </w:rPr>
              <w:br/>
            </w:r>
            <w:r>
              <w:rPr>
                <w:sz w:val="16"/>
                <w:rtl w:val="0"/>
              </w:rPr>
              <w:t>- Như Điều 3;</w:t>
            </w:r>
            <w:r>
              <w:rPr>
                <w:sz w:val="16"/>
                <w:rtl w:val="0"/>
              </w:rPr>
              <w:br/>
            </w:r>
            <w:r>
              <w:rPr>
                <w:sz w:val="16"/>
                <w:rtl w:val="0"/>
              </w:rPr>
              <w:t>- Bộ Nội vụ (để báo cáo);</w:t>
            </w:r>
            <w:r>
              <w:rPr>
                <w:sz w:val="16"/>
                <w:rtl w:val="0"/>
              </w:rPr>
              <w:br/>
            </w:r>
            <w:r>
              <w:rPr>
                <w:sz w:val="16"/>
                <w:rtl w:val="0"/>
              </w:rPr>
              <w:t>- Cục VT&amp;LTNN;</w:t>
            </w:r>
            <w:r>
              <w:rPr>
                <w:sz w:val="16"/>
                <w:rtl w:val="0"/>
              </w:rPr>
              <w:br/>
            </w:r>
            <w:r>
              <w:rPr>
                <w:sz w:val="16"/>
                <w:rtl w:val="0"/>
              </w:rPr>
              <w:t>- TTTU, TTHĐND TP;</w:t>
            </w:r>
            <w:r>
              <w:rPr>
                <w:sz w:val="16"/>
                <w:rtl w:val="0"/>
              </w:rPr>
              <w:br/>
            </w:r>
            <w:r>
              <w:rPr>
                <w:sz w:val="16"/>
                <w:rtl w:val="0"/>
              </w:rPr>
              <w:t>- CT, các PCT UBND TP;</w:t>
            </w:r>
            <w:r>
              <w:rPr>
                <w:sz w:val="16"/>
                <w:rtl w:val="0"/>
              </w:rPr>
              <w:br/>
            </w:r>
            <w:r>
              <w:rPr>
                <w:sz w:val="16"/>
                <w:rtl w:val="0"/>
              </w:rPr>
              <w:t>- Công an thành phố;</w:t>
            </w:r>
            <w:r>
              <w:rPr>
                <w:sz w:val="16"/>
                <w:rtl w:val="0"/>
              </w:rPr>
              <w:br/>
            </w:r>
            <w:r>
              <w:rPr>
                <w:sz w:val="16"/>
                <w:rtl w:val="0"/>
              </w:rPr>
              <w:t>- Trung tâm LTLS TP;</w:t>
            </w:r>
            <w:r>
              <w:rPr>
                <w:sz w:val="16"/>
                <w:rtl w:val="0"/>
              </w:rPr>
              <w:br/>
            </w:r>
            <w:r>
              <w:rPr>
                <w:sz w:val="16"/>
                <w:rtl w:val="0"/>
              </w:rPr>
              <w:t>- Lưu: VT, SNV.</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 xml:space="preserve">TM. ỦY BAN NHÂN DÂN </w:t>
            </w:r>
            <w:r>
              <w:rPr>
                <w:b/>
                <w:bCs/>
                <w:rtl w:val="0"/>
              </w:rPr>
              <w:br/>
            </w:r>
            <w:r>
              <w:rPr>
                <w:b/>
                <w:bCs/>
                <w:rtl w:val="0"/>
              </w:rPr>
              <w:t>CHỦ TỊCH</w:t>
            </w:r>
            <w:r>
              <w:rPr>
                <w:b/>
                <w:bCs/>
                <w:rtl w:val="0"/>
              </w:rPr>
              <w:br/>
            </w:r>
            <w:r>
              <w:rPr>
                <w:b/>
                <w:bCs/>
                <w:rtl w:val="0"/>
              </w:rPr>
              <w:br/>
            </w:r>
            <w:r>
              <w:rPr>
                <w:b/>
                <w:bCs/>
                <w:rtl w:val="0"/>
              </w:rPr>
              <w:br/>
            </w:r>
            <w:r>
              <w:rPr>
                <w:b/>
                <w:bCs/>
                <w:rtl w:val="0"/>
              </w:rPr>
              <w:br/>
            </w:r>
            <w:r>
              <w:rPr>
                <w:b/>
                <w:bCs/>
                <w:rtl w:val="0"/>
              </w:rPr>
              <w:br/>
            </w:r>
            <w:r>
              <w:rPr>
                <w:b/>
                <w:bCs/>
                <w:rtl w:val="0"/>
              </w:rPr>
              <w:t>Nguyễn Mạnh Hùng</w:t>
            </w:r>
          </w:p>
        </w:tc>
      </w:tr>
    </w:tbl>
    <w:p>
      <w:pPr>
        <w:bidi w:val="0"/>
        <w:spacing w:before="120" w:beforeAutospacing="0" w:after="280" w:afterAutospacing="1"/>
      </w:pPr>
      <w:r>
        <w:rPr>
          <w:rtl w:val="0"/>
        </w:rPr>
        <w:t> </w:t>
      </w:r>
    </w:p>
    <w:p>
      <w:pPr>
        <w:bidi w:val="0"/>
        <w:spacing w:before="120" w:beforeAutospacing="0" w:after="280" w:afterAutospacing="1"/>
        <w:jc w:val="center"/>
      </w:pPr>
      <w:bookmarkStart w:id="5" w:name="loai_2"/>
      <w:r>
        <w:rPr>
          <w:b/>
          <w:bCs/>
          <w:sz w:val="24"/>
          <w:rtl w:val="0"/>
        </w:rPr>
        <w:t>QUY CHẾ</w:t>
      </w:r>
      <w:bookmarkEnd w:id="5"/>
      <w:r>
        <w:rPr>
          <w:b/>
          <w:bCs/>
          <w:sz w:val="24"/>
          <w:rtl w:val="0"/>
        </w:rPr>
        <w:t xml:space="preserve"> </w:t>
      </w:r>
    </w:p>
    <w:p>
      <w:pPr>
        <w:bidi w:val="0"/>
        <w:spacing w:before="120" w:beforeAutospacing="0" w:after="280" w:afterAutospacing="1"/>
        <w:jc w:val="center"/>
      </w:pPr>
      <w:bookmarkStart w:id="6" w:name="loai_2_name"/>
      <w:r>
        <w:rPr>
          <w:rtl w:val="0"/>
        </w:rPr>
        <w:t>QUẢN LÝ VÀ VẬN HÀNH KHO LƯU TRỮ SỐ THÀNH PHỐ ĐÀ NẴNG</w:t>
      </w:r>
      <w:bookmarkEnd w:id="6"/>
      <w:r>
        <w:rPr>
          <w:rtl w:val="0"/>
        </w:rPr>
        <w:t xml:space="preserve"> </w:t>
      </w:r>
      <w:r>
        <w:rPr>
          <w:rtl w:val="0"/>
        </w:rPr>
        <w:br/>
      </w:r>
      <w:r>
        <w:rPr>
          <w:i/>
          <w:iCs/>
          <w:rtl w:val="0"/>
        </w:rPr>
        <w:t>(Kèm theo Quyết định số: 3967/QĐ-UBND ngày 04 tháng 9 năm 2026 của Ủy ban nhân dân thành phố Đà Nẵng)</w:t>
      </w:r>
    </w:p>
    <w:p>
      <w:pPr>
        <w:bidi w:val="0"/>
        <w:spacing w:before="120" w:beforeAutospacing="0" w:after="280" w:afterAutospacing="1"/>
      </w:pPr>
      <w:bookmarkStart w:id="7" w:name="chuong_1"/>
      <w:r>
        <w:rPr>
          <w:b/>
          <w:bCs/>
          <w:rtl w:val="0"/>
        </w:rPr>
        <w:t>Chương I</w:t>
      </w:r>
      <w:bookmarkEnd w:id="7"/>
      <w:r>
        <w:rPr>
          <w:b/>
          <w:bCs/>
          <w:rtl w:val="0"/>
        </w:rPr>
        <w:t xml:space="preserve"> </w:t>
      </w:r>
    </w:p>
    <w:p>
      <w:pPr>
        <w:bidi w:val="0"/>
        <w:spacing w:before="120" w:beforeAutospacing="0" w:after="280" w:afterAutospacing="1"/>
        <w:jc w:val="center"/>
      </w:pPr>
      <w:bookmarkStart w:id="8" w:name="chuong_1_name"/>
      <w:r>
        <w:rPr>
          <w:b/>
          <w:bCs/>
          <w:sz w:val="24"/>
          <w:rtl w:val="0"/>
        </w:rPr>
        <w:t>NHỮNG QUY ĐỊNH CHUNG</w:t>
      </w:r>
      <w:bookmarkEnd w:id="8"/>
    </w:p>
    <w:p>
      <w:pPr>
        <w:bidi w:val="0"/>
        <w:spacing w:before="120" w:beforeAutospacing="0" w:after="280" w:afterAutospacing="1"/>
      </w:pPr>
      <w:bookmarkStart w:id="9" w:name="dieu_1_1"/>
      <w:r>
        <w:rPr>
          <w:b/>
          <w:bCs/>
          <w:rtl w:val="0"/>
        </w:rPr>
        <w:t>Điều 1. Phạm vi điều chỉnh</w:t>
      </w:r>
      <w:bookmarkEnd w:id="9"/>
    </w:p>
    <w:p>
      <w:pPr>
        <w:bidi w:val="0"/>
        <w:spacing w:before="120" w:beforeAutospacing="0" w:after="280" w:afterAutospacing="1"/>
      </w:pPr>
      <w:r>
        <w:rPr>
          <w:rtl w:val="0"/>
        </w:rPr>
        <w:t>1. Quy chế này quy định việc quản lý và vận hành Kho Lưu trữ số thành phố Đà Nẵng.</w:t>
      </w:r>
    </w:p>
    <w:p>
      <w:pPr>
        <w:bidi w:val="0"/>
        <w:spacing w:before="120" w:beforeAutospacing="0" w:after="280" w:afterAutospacing="1"/>
      </w:pPr>
      <w:r>
        <w:rPr>
          <w:rtl w:val="0"/>
        </w:rPr>
        <w:t>2. Quy chế này không áp dụng đối với việc cung cấp, cập nhật, lưu trữ, quản lý, vận hành, kết nối, chia sẻ, khai thác, sử dụng và hủy tài liệu, dữ liệu có nội dung thuộc bí mật nhà nước. Việc quản lý, sử dụng các tài liệu, dữ liệu này thực hiện theo quy định của pháp luật về bảo vệ bí mật nhà nước.</w:t>
      </w:r>
    </w:p>
    <w:p>
      <w:pPr>
        <w:bidi w:val="0"/>
        <w:spacing w:before="120" w:beforeAutospacing="0" w:after="280" w:afterAutospacing="1"/>
      </w:pPr>
      <w:r>
        <w:rPr>
          <w:rtl w:val="0"/>
        </w:rPr>
        <w:t>3. Đối với tài liệu, dữ liệu thuộc lực lượng vũ trang nhân dân, cơ quan Trung ương tổ chức theo ngành dọc đóng trên địa bàn thành phố và các loại tài liệu, dữ liệu thuộc quản lý theo quy định chuyên ngành: Việc cập nhật, kết nối, chia sẻ các tài liệu, dữ liệu phải được thực hiện đúng thẩm quyền, phạm vi và quy định của pháp luật chuyên ngành có liên quan.</w:t>
      </w:r>
    </w:p>
    <w:p>
      <w:pPr>
        <w:bidi w:val="0"/>
        <w:spacing w:before="120" w:beforeAutospacing="0" w:after="280" w:afterAutospacing="1"/>
      </w:pPr>
      <w:bookmarkStart w:id="10" w:name="dieu_2_1"/>
      <w:r>
        <w:rPr>
          <w:b/>
          <w:bCs/>
          <w:rtl w:val="0"/>
        </w:rPr>
        <w:t>Điều 2. Đối tượng áp dụng</w:t>
      </w:r>
      <w:bookmarkEnd w:id="10"/>
      <w:r>
        <w:rPr>
          <w:b/>
          <w:bCs/>
          <w:rtl w:val="0"/>
        </w:rPr>
        <w:t xml:space="preserve"> </w:t>
      </w:r>
    </w:p>
    <w:p>
      <w:pPr>
        <w:bidi w:val="0"/>
        <w:spacing w:before="120" w:beforeAutospacing="0" w:after="280" w:afterAutospacing="1"/>
      </w:pPr>
      <w:r>
        <w:rPr>
          <w:rtl w:val="0"/>
        </w:rPr>
        <w:t>Quy chế này áp dụng đối với các sở, ban, ngành; các đơn vị sự nghiệp thuộc UBND thành phố; UBND xã, phường, đặc khu (sau đây gọi là UBND cấp xã); Trung tâm Lưu trữ lịch sử thành phố (sau đây viết tắt là các cơ quan, đơn vị) và các tổ chức, cá nhân có các hoạt động liên quan đến Kho Lưu trữ số thành phố Đà Nẵng.</w:t>
      </w:r>
    </w:p>
    <w:p>
      <w:pPr>
        <w:bidi w:val="0"/>
        <w:spacing w:before="120" w:beforeAutospacing="0" w:after="280" w:afterAutospacing="1"/>
      </w:pPr>
      <w:bookmarkStart w:id="11" w:name="dieu_3_1"/>
      <w:r>
        <w:rPr>
          <w:b/>
          <w:bCs/>
          <w:rtl w:val="0"/>
        </w:rPr>
        <w:t>Điều 3. Giải thích từ ngữ</w:t>
      </w:r>
      <w:bookmarkEnd w:id="11"/>
    </w:p>
    <w:p>
      <w:pPr>
        <w:bidi w:val="0"/>
        <w:spacing w:before="120" w:beforeAutospacing="0" w:after="280" w:afterAutospacing="1"/>
      </w:pPr>
      <w:r>
        <w:rPr>
          <w:rtl w:val="0"/>
        </w:rPr>
        <w:t>1. Kho Lưu trữ số thành phố Đà Nẵng: Là nền tảng tổng hợp, tích hợp, lưu trữ và xử lý dữ liệu tập trung. Dữ liệu tài liệu lưu trữ tại Kho Lưu trữ số bao gồm thông tin mô tả tài liệu lưu trữ và tập dữ liệu số của tài liệu lưu trữ được tạo lập hoặc số hóa, được quản lý, cập nhật trên Kho Lưu trữ số theo quy định; có địa chỉ truy cập là: https://luutruso.danang.gov.vn/, được giao cho Sở Nội vụ thành phố quản lý, vận hành.</w:t>
      </w:r>
    </w:p>
    <w:p>
      <w:pPr>
        <w:bidi w:val="0"/>
        <w:spacing w:before="120" w:beforeAutospacing="0" w:after="280" w:afterAutospacing="1"/>
      </w:pPr>
      <w:r>
        <w:rPr>
          <w:rtl w:val="0"/>
        </w:rPr>
        <w:t>Kho Lưu trữ số là một thành phần của Kho dữ liệu dùng chung thành phố và là một nguồn dữ liệu đầu vào cung cấp dữ liệu số từ tài liệu lưu trữ cho Kho dữ liệu dùng chung thành phố để tạo thành các Data Mart phục vụ triển khai các ứng dụng, dịch vụ thông minh, phân tích khai phá dữ liệu, hỗ trợ ra quyết định.</w:t>
      </w:r>
    </w:p>
    <w:p>
      <w:pPr>
        <w:bidi w:val="0"/>
        <w:spacing w:before="120" w:beforeAutospacing="0" w:after="280" w:afterAutospacing="1"/>
      </w:pPr>
      <w:r>
        <w:rPr>
          <w:rtl w:val="0"/>
        </w:rPr>
        <w:t>2. Xây dựng và cập nhật cơ sở dữ liệu tài liệu lưu trữ là việc thêm mới dữ liệu chủ của tài liệu lưu trữ vào Kho Lưu trữ số hoặc sửa đổi, bổ sung một số trường thông tin không cố định thuộc dữ liệu chủ của tài liệu lưu trữ đã có trong cơ sở dữ liệu tài liệu lưu trữ tại Kho Lưu trữ số.</w:t>
      </w:r>
    </w:p>
    <w:p>
      <w:pPr>
        <w:bidi w:val="0"/>
        <w:spacing w:before="120" w:beforeAutospacing="0" w:after="280" w:afterAutospacing="1"/>
      </w:pPr>
      <w:r>
        <w:rPr>
          <w:rtl w:val="0"/>
        </w:rPr>
        <w:t>3. Đơn vị quản lý, vận hành Kho Lưu trữ số là Sở Nội vụ thành phố, thực hiện các biện pháp nghiệp vụ về lưu trữ điện tử và công nghệ thông tin để duy trì hoạt động của Kho Lưu trữ số.</w:t>
      </w:r>
    </w:p>
    <w:p>
      <w:pPr>
        <w:bidi w:val="0"/>
        <w:spacing w:before="120" w:beforeAutospacing="0" w:after="280" w:afterAutospacing="1"/>
      </w:pPr>
      <w:r>
        <w:rPr>
          <w:rtl w:val="0"/>
        </w:rPr>
        <w:t>4. Chủ quản dữ liệu là cơ quan, tổ chức, cá nhân thực hiện hoạt động xây dựng, quản lý, vận hành, khai thác dữ liệu theo yêu cầu của chủ sở hữu dữ liệu.</w:t>
      </w:r>
    </w:p>
    <w:p>
      <w:pPr>
        <w:bidi w:val="0"/>
        <w:spacing w:before="120" w:beforeAutospacing="0" w:after="280" w:afterAutospacing="1"/>
      </w:pPr>
      <w:r>
        <w:rPr>
          <w:rtl w:val="0"/>
        </w:rPr>
        <w:t>5. Chủ sở hữu dữ liệu là cơ quan, tổ chức, cá nhân có quyền quyết định việc xây dựng, phát triển, bảo vệ, quản trị, xử lý, sử dụng và trao đổi giá trị của dữ liệu do mình sở hữu.</w:t>
      </w:r>
    </w:p>
    <w:p>
      <w:pPr>
        <w:bidi w:val="0"/>
        <w:spacing w:before="120" w:beforeAutospacing="0" w:after="280" w:afterAutospacing="1"/>
      </w:pPr>
      <w:bookmarkStart w:id="12" w:name="dieu_4"/>
      <w:r>
        <w:rPr>
          <w:b/>
          <w:bCs/>
          <w:rtl w:val="0"/>
        </w:rPr>
        <w:t>Điều 4. Nguyên tắc quản lý, vận hành Kho Lưu trữ số</w:t>
      </w:r>
      <w:bookmarkEnd w:id="12"/>
    </w:p>
    <w:p>
      <w:pPr>
        <w:bidi w:val="0"/>
        <w:spacing w:before="120" w:beforeAutospacing="0" w:after="280" w:afterAutospacing="1"/>
      </w:pPr>
      <w:r>
        <w:rPr>
          <w:rtl w:val="0"/>
        </w:rPr>
        <w:t>1. Việc quản lý và vận hành Kho Lưu trữ số phải phù hợp với mô hình chính quyền số và khung kiến trúc số thành phố; đảm bảo tuân thủ các quy định về lưu trữ điện tử, đảm bảo an toàn thông tin trên môi trường mạng và các quy định khác có liên quan của pháp luật hiện hành.</w:t>
      </w:r>
    </w:p>
    <w:p>
      <w:pPr>
        <w:bidi w:val="0"/>
        <w:spacing w:before="120" w:beforeAutospacing="0" w:after="280" w:afterAutospacing="1"/>
      </w:pPr>
      <w:r>
        <w:rPr>
          <w:rtl w:val="0"/>
        </w:rPr>
        <w:t>2. Kho Lưu trữ số phải có khả năng chia sẻ, tích hợp dữ liệu với các Hệ thống thông tin khác (Kho dữ liệu dùng chung của thành phố, Hệ thống Quản lý văn bản điều hành, Hệ thống quản lý tài liệu điện tử tại Lưu trữ lịch sử...) đảm bảo tuân thủ Khung kiến trúc Chính phủ số Việt Nam, Khung kiến trúc số thành phố, Khung dữ liệu dùng chung thành phố và các tiêu chuẩn, quy chuẩn kỹ thuật về an toàn thông tin, cấu trúc thông điệp dữ liệu trao đổi giữa các hệ thống thông tin.</w:t>
      </w:r>
    </w:p>
    <w:p>
      <w:pPr>
        <w:bidi w:val="0"/>
        <w:spacing w:before="120" w:beforeAutospacing="0" w:after="280" w:afterAutospacing="1"/>
      </w:pPr>
      <w:r>
        <w:rPr>
          <w:rtl w:val="0"/>
        </w:rPr>
        <w:t>3. Việc cung cấp, cập nhật và quản lý cơ sở dữ liệu tài liệu lưu trữ tại Kho Lưu trữ số phải đảm bảo: Đúng, đủ, sạch, sống, toàn vẹn, duy nhất, thống nhất, tập trung, liên thông, dùng chung, hạn chế tạo dữ liệu trùng lặp nhằm xây dựng cơ sở dữ liệu tài liệu lưu trữ thành phố Đà Nẵng đầy đủ, tin cậy, thống nhất và có khả năng khai thác lâu dài; phục vụ hiệu quả công tác quản lý nhà nước và phát huy giá trị tài liệu lưu trữ số.</w:t>
      </w:r>
    </w:p>
    <w:p>
      <w:pPr>
        <w:bidi w:val="0"/>
        <w:spacing w:before="120" w:beforeAutospacing="0" w:after="280" w:afterAutospacing="1"/>
      </w:pPr>
      <w:r>
        <w:rPr>
          <w:rtl w:val="0"/>
        </w:rPr>
        <w:t>4. Việc khai thác, sử dụng dữ liệu phải bảo đảm tuân thủ pháp luật, đúng thẩm quyền, đúng mục đích, đúng phạm vi chức năng, nhiệm vụ của cơ quan, tổ chức, cá nhân được giao quản lý, khai thác, sử dụng dữ liệu. Tuân thủ các quy định của pháp luật về bảo đảm an ninh mạng, an ninh dữ liệu, bảo vệ bí mật nhà nước, bảo vệ dữ liệu cá nhân.</w:t>
      </w:r>
    </w:p>
    <w:p>
      <w:pPr>
        <w:bidi w:val="0"/>
        <w:spacing w:before="120" w:beforeAutospacing="0" w:after="280" w:afterAutospacing="1"/>
      </w:pPr>
      <w:bookmarkStart w:id="13" w:name="chuong_2"/>
      <w:r>
        <w:rPr>
          <w:b/>
          <w:bCs/>
          <w:rtl w:val="0"/>
        </w:rPr>
        <w:t>Chương II</w:t>
      </w:r>
      <w:bookmarkEnd w:id="13"/>
      <w:r>
        <w:rPr>
          <w:b/>
          <w:bCs/>
          <w:rtl w:val="0"/>
        </w:rPr>
        <w:t xml:space="preserve"> </w:t>
      </w:r>
    </w:p>
    <w:p>
      <w:pPr>
        <w:bidi w:val="0"/>
        <w:spacing w:before="120" w:beforeAutospacing="0" w:after="280" w:afterAutospacing="1"/>
        <w:jc w:val="center"/>
      </w:pPr>
      <w:bookmarkStart w:id="14" w:name="chuong_2_name"/>
      <w:r>
        <w:rPr>
          <w:b/>
          <w:bCs/>
          <w:sz w:val="24"/>
          <w:rtl w:val="0"/>
        </w:rPr>
        <w:t>QUY ĐỊNH CỤ THỂ</w:t>
      </w:r>
      <w:bookmarkEnd w:id="14"/>
    </w:p>
    <w:p>
      <w:pPr>
        <w:bidi w:val="0"/>
        <w:spacing w:before="120" w:beforeAutospacing="0" w:after="280" w:afterAutospacing="1"/>
      </w:pPr>
      <w:bookmarkStart w:id="15" w:name="dieu_5"/>
      <w:r>
        <w:rPr>
          <w:b/>
          <w:bCs/>
          <w:rtl w:val="0"/>
        </w:rPr>
        <w:t>Điều 5. Tài khoản quản trị</w:t>
      </w:r>
      <w:bookmarkEnd w:id="15"/>
    </w:p>
    <w:p>
      <w:pPr>
        <w:bidi w:val="0"/>
        <w:spacing w:before="120" w:beforeAutospacing="0" w:after="280" w:afterAutospacing="1"/>
      </w:pPr>
      <w:r>
        <w:rPr>
          <w:rtl w:val="0"/>
        </w:rPr>
        <w:t>1. Tài khoản quản trị gồm các nhóm: Quản trị hệ điều hành, quản trị hệ cơ sở dữ liệu, quản trị người dùng và ứng dụng khai thác thông tin.</w:t>
      </w:r>
    </w:p>
    <w:p>
      <w:pPr>
        <w:bidi w:val="0"/>
        <w:spacing w:before="120" w:beforeAutospacing="0" w:after="280" w:afterAutospacing="1"/>
      </w:pPr>
      <w:r>
        <w:rPr>
          <w:rtl w:val="0"/>
        </w:rPr>
        <w:t>2. Đơn vị quản lý, vận hành Kho Lưu trữ số thực hiện các nhiệm vụ sau:</w:t>
      </w:r>
    </w:p>
    <w:p>
      <w:pPr>
        <w:bidi w:val="0"/>
        <w:spacing w:before="120" w:beforeAutospacing="0" w:after="280" w:afterAutospacing="1"/>
      </w:pPr>
      <w:r>
        <w:rPr>
          <w:rtl w:val="0"/>
        </w:rPr>
        <w:t xml:space="preserve">a) Quản lý sử dụng các tài khoản quản trị người dùng và ứng dụng khai thác thông tin để: </w:t>
      </w:r>
    </w:p>
    <w:p>
      <w:pPr>
        <w:bidi w:val="0"/>
        <w:spacing w:before="120" w:beforeAutospacing="0" w:after="280" w:afterAutospacing="1"/>
      </w:pPr>
      <w:r>
        <w:rPr>
          <w:rtl w:val="0"/>
        </w:rPr>
        <w:t xml:space="preserve">- Cấp tài khoản truy cập Kho Lưu trữ số cho các cơ quan, đơn vị thuộc đối tượng áp dụng tại Điều 2 Quy chế này. </w:t>
      </w:r>
    </w:p>
    <w:p>
      <w:pPr>
        <w:bidi w:val="0"/>
        <w:spacing w:before="120" w:beforeAutospacing="0" w:after="280" w:afterAutospacing="1"/>
      </w:pPr>
      <w:r>
        <w:rPr>
          <w:rtl w:val="0"/>
        </w:rPr>
        <w:t xml:space="preserve">- Cấp quyền khai thác thông tin dữ liệu trong Kho Lưu trữ số. </w:t>
      </w:r>
    </w:p>
    <w:p>
      <w:pPr>
        <w:bidi w:val="0"/>
        <w:spacing w:before="120" w:beforeAutospacing="0" w:after="280" w:afterAutospacing="1"/>
      </w:pPr>
      <w:r>
        <w:rPr>
          <w:rtl w:val="0"/>
        </w:rPr>
        <w:t>b) Quản lý sử dụng các tài khoản hệ điều hành; quản trị hệ cơ sở dữ liệu để thực hiện sao lưu hệ thống và cơ sở dữ liệu.</w:t>
      </w:r>
    </w:p>
    <w:p>
      <w:pPr>
        <w:bidi w:val="0"/>
        <w:spacing w:before="120" w:beforeAutospacing="0" w:after="280" w:afterAutospacing="1"/>
      </w:pPr>
      <w:r>
        <w:rPr>
          <w:rtl w:val="0"/>
        </w:rPr>
        <w:t>3. Tài khoản quản trị phải được áp dụng xác thực đa yếu tố (MFA) theo quy định về bảo đảm an toàn thông tin; việc xác thực tập trung (SSO) được thực hiện thông qua hệ thống xác thực dùng chung của thành phố.</w:t>
      </w:r>
    </w:p>
    <w:p>
      <w:pPr>
        <w:bidi w:val="0"/>
        <w:spacing w:before="120" w:beforeAutospacing="0" w:after="280" w:afterAutospacing="1"/>
      </w:pPr>
      <w:bookmarkStart w:id="16" w:name="dieu_6"/>
      <w:r>
        <w:rPr>
          <w:b/>
          <w:bCs/>
          <w:rtl w:val="0"/>
        </w:rPr>
        <w:t>Điều 6. Cấp, quản lý tài khoản</w:t>
      </w:r>
      <w:bookmarkEnd w:id="16"/>
    </w:p>
    <w:p>
      <w:pPr>
        <w:bidi w:val="0"/>
        <w:spacing w:before="120" w:beforeAutospacing="0" w:after="280" w:afterAutospacing="1"/>
      </w:pPr>
      <w:r>
        <w:rPr>
          <w:rtl w:val="0"/>
        </w:rPr>
        <w:t>1. Các cơ quan, đơn vị theo quy định tại Điều 2 Quy chế này được cấp tài khoản để truy cập, cập nhật, cung cấp và khai thác dữ liệu trên Kho Lưu trữ số.</w:t>
      </w:r>
    </w:p>
    <w:p>
      <w:pPr>
        <w:bidi w:val="0"/>
        <w:spacing w:before="120" w:beforeAutospacing="0" w:after="280" w:afterAutospacing="1"/>
      </w:pPr>
      <w:r>
        <w:rPr>
          <w:rtl w:val="0"/>
        </w:rPr>
        <w:t>2. Tài khoản truy cập Kho Lưu trữ số do đơn vị quản lý, vận hành cấp.</w:t>
      </w:r>
    </w:p>
    <w:p>
      <w:pPr>
        <w:bidi w:val="0"/>
        <w:spacing w:before="120" w:beforeAutospacing="0" w:after="280" w:afterAutospacing="1"/>
      </w:pPr>
      <w:r>
        <w:rPr>
          <w:rtl w:val="0"/>
        </w:rPr>
        <w:t>3. Cơ quan, đơn vị được cấp tài khoản chịu trách nhiệm bảo mật tài khoản, bảo mật dữ liệu và quản lý, sử dụng tài khoản theo đúng mục đích, chức năng, nhiệm vụ, quyền hạn được giao theo quy định của pháp luật hiện hành.</w:t>
      </w:r>
    </w:p>
    <w:p>
      <w:pPr>
        <w:bidi w:val="0"/>
        <w:spacing w:before="120" w:beforeAutospacing="0" w:after="280" w:afterAutospacing="1"/>
      </w:pPr>
      <w:r>
        <w:rPr>
          <w:rtl w:val="0"/>
        </w:rPr>
        <w:t>4. Tài khoản được thu hồi, khóa truy cập ngay khi cá nhân chuyển công tác, nghỉ hưu hoặc thôi việc; định kỳ rà soát tài khoản truy cập; lưu trữ hồ sơ lịch sử cấp quyền theo thời gian lưu trữ nhật ký hệ thống.</w:t>
      </w:r>
    </w:p>
    <w:p>
      <w:pPr>
        <w:bidi w:val="0"/>
        <w:spacing w:before="120" w:beforeAutospacing="0" w:after="280" w:afterAutospacing="1"/>
      </w:pPr>
      <w:bookmarkStart w:id="17" w:name="dieu_7"/>
      <w:r>
        <w:rPr>
          <w:b/>
          <w:bCs/>
          <w:rtl w:val="0"/>
        </w:rPr>
        <w:t>Điều 7. Cung cấp, cập nhật cơ sở dữ liệu tài liệu lưu trữ vào Kho Lưu trữ số</w:t>
      </w:r>
      <w:bookmarkEnd w:id="17"/>
    </w:p>
    <w:p>
      <w:pPr>
        <w:bidi w:val="0"/>
        <w:spacing w:before="120" w:beforeAutospacing="0" w:after="280" w:afterAutospacing="1"/>
      </w:pPr>
      <w:r>
        <w:rPr>
          <w:rtl w:val="0"/>
        </w:rPr>
        <w:t xml:space="preserve">1. Cung cấp, cập nhật cơ sở dữ liệu tài liệu lưu trữ </w:t>
      </w:r>
    </w:p>
    <w:p>
      <w:pPr>
        <w:bidi w:val="0"/>
        <w:spacing w:before="120" w:beforeAutospacing="0" w:after="280" w:afterAutospacing="1"/>
      </w:pPr>
      <w:r>
        <w:rPr>
          <w:rtl w:val="0"/>
        </w:rPr>
        <w:t xml:space="preserve">a) Đối với cơ sở dữ liệu tài liệu lưu trữ của các cơ quan, đơn vị: Các cơ quan, đơn vị có trách nhiệm cung cấp, cập nhật cơ sở dữ liệu tài liệu lưu trữ (gồm thông tin mô tả tài liệu lưu trữ và tệp dữ liệu số của tài liệu lưu trữ được tạo lập hoặc số hóa; mục lục hồ sơ, mục lục văn bản) hình thành trong quá trình hoạt động của cơ quan, đơn vị vào Kho Lưu trữ số chậm nhất không quá 05 ngày làm việc kể từ ngày hình thành tài liệu; chịu trách nhiệm về số lượng, thành phần, nội dung tài liệu trong hồ sơ, tài liệu; bảo đảm yêu cầu, chất lượng của hồ sơ, tài liệu theo quy định. </w:t>
      </w:r>
    </w:p>
    <w:p>
      <w:pPr>
        <w:bidi w:val="0"/>
        <w:spacing w:before="120" w:beforeAutospacing="0" w:after="280" w:afterAutospacing="1"/>
      </w:pPr>
      <w:r>
        <w:rPr>
          <w:rtl w:val="0"/>
        </w:rPr>
        <w:t xml:space="preserve">b) Đối với cơ sở dữ liệu tài liệu lưu trữ của lưu trữ lịch sử thành phố: Lưu trữ lịch sử thành phố có trách nhiệm cung cấp, cập nhật cơ sở dữ liệu tài liệu lưu trữ đang bảo quản tại lưu trữ lịch sử thành phố vào Kho Lưu trữ số. </w:t>
      </w:r>
    </w:p>
    <w:p>
      <w:pPr>
        <w:bidi w:val="0"/>
        <w:spacing w:before="120" w:beforeAutospacing="0" w:after="280" w:afterAutospacing="1"/>
      </w:pPr>
      <w:r>
        <w:rPr>
          <w:rtl w:val="0"/>
        </w:rPr>
        <w:t>c) Đối với dữ liệu chuyên ngành: Việc cung cấp, cập nhật dữ liệu ngành của các ngành, lĩnh vực vào Kho lưu trữ số được thực hiện trên cơ sở đề xuất của ngành, lĩnh vực hoặc theo yêu cầu của UBND thành phố.</w:t>
      </w:r>
    </w:p>
    <w:p>
      <w:pPr>
        <w:bidi w:val="0"/>
        <w:spacing w:before="120" w:beforeAutospacing="0" w:after="280" w:afterAutospacing="1"/>
      </w:pPr>
      <w:r>
        <w:rPr>
          <w:rtl w:val="0"/>
        </w:rPr>
        <w:t>2. Việc cập nhật dữ liệu phải tuân thủ tiêu chuẩn dữ liệu, metadata, định danh hồ sơ, định danh tài liệu và kiểm tra chất lượng dữ liệu trước khi đồng bộ. Cơ quan, tổ chức, cá nhân cung cấp dữ liệu chịu trách nhiệm về tính chính xác của dữ liệu cung cấp, cập nhật vào Kho Lưu trữ số; bảo đảm đúng thời gian quy định theo chỉ đạo của UBND thành phố và hướng dẫn của Sở Nội vụ.</w:t>
      </w:r>
    </w:p>
    <w:p>
      <w:pPr>
        <w:bidi w:val="0"/>
        <w:spacing w:before="120" w:beforeAutospacing="0" w:after="280" w:afterAutospacing="1"/>
      </w:pPr>
      <w:bookmarkStart w:id="18" w:name="dieu_8"/>
      <w:r>
        <w:rPr>
          <w:b/>
          <w:bCs/>
          <w:rtl w:val="0"/>
        </w:rPr>
        <w:t>Điều 8. Hủy hồ sơ, tài liệu lưu trữ số hết giá trị</w:t>
      </w:r>
      <w:bookmarkEnd w:id="18"/>
    </w:p>
    <w:p>
      <w:pPr>
        <w:bidi w:val="0"/>
        <w:spacing w:before="120" w:beforeAutospacing="0" w:after="280" w:afterAutospacing="1"/>
      </w:pPr>
      <w:r>
        <w:rPr>
          <w:rtl w:val="0"/>
        </w:rPr>
        <w:t>1. Việc hủy hồ sơ, tài liệu lưu trữ số được thực hiện đối với hồ sơ, tài liệu hết thời hạn lưu trữ hoặc hồ sơ, tài liệu trùng lặp tại Kho Lưu trữ số.</w:t>
      </w:r>
    </w:p>
    <w:p>
      <w:pPr>
        <w:bidi w:val="0"/>
        <w:spacing w:before="120" w:beforeAutospacing="0" w:after="280" w:afterAutospacing="1"/>
      </w:pPr>
      <w:r>
        <w:rPr>
          <w:rtl w:val="0"/>
        </w:rPr>
        <w:t>2. Danh mục hồ sơ, tài liệu lưu trữ số hết giá trị được kết xuất từ Hệ thống của Kho Lưu trữ số theo định kỳ hàng năm để làm thủ tục hủy. Trình tự, thủ tục hủy hồ sơ, tài liệu lưu trữ số thực hiện theo quy định tại Điều 49, Điều 50 Thông tư số 05/2025/TT-BNV ngày 14 tháng 5 năm 2025 của Bộ Nội vụ quy định nghiệp vụ lưu trữ tài liệu lưu trữ số (sau đây gọi chung là Thông tư số 05/2025/TT-BNV).</w:t>
      </w:r>
    </w:p>
    <w:p>
      <w:pPr>
        <w:bidi w:val="0"/>
        <w:spacing w:before="120" w:beforeAutospacing="0" w:after="280" w:afterAutospacing="1"/>
      </w:pPr>
      <w:r>
        <w:rPr>
          <w:rtl w:val="0"/>
        </w:rPr>
        <w:t>3. Đơn vị quản lý, vận hành hệ thống có trách nhiệm phối hợp với cơ quan, đơn vị chủ quản dữ liệu thực hiện hủy hồ sơ, tài liệu lưu trữ số theo quy định của pháp luật.</w:t>
      </w:r>
    </w:p>
    <w:p>
      <w:pPr>
        <w:bidi w:val="0"/>
        <w:spacing w:before="120" w:beforeAutospacing="0" w:after="280" w:afterAutospacing="1"/>
      </w:pPr>
      <w:bookmarkStart w:id="19" w:name="dieu_9"/>
      <w:r>
        <w:rPr>
          <w:b/>
          <w:bCs/>
          <w:rtl w:val="0"/>
        </w:rPr>
        <w:t>Điều 9. Kết nối, chia sẻ dữ liệu trong Kho Lưu trữ số</w:t>
      </w:r>
      <w:bookmarkEnd w:id="19"/>
    </w:p>
    <w:p>
      <w:pPr>
        <w:bidi w:val="0"/>
        <w:spacing w:before="120" w:beforeAutospacing="0" w:after="280" w:afterAutospacing="1"/>
      </w:pPr>
      <w:r>
        <w:rPr>
          <w:rtl w:val="0"/>
        </w:rPr>
        <w:t>1. Sở Nội vụ chủ trì, phối hợp với Sở Khoa học và Công nghệ xây dựng phương án kết nối, chia sẻ dữ liệu tài liệu lưu trữ trong Kho Lưu trữ số với các hệ thống thông tin khác: Kho dữ liệu dùng chung của thành phố, Hệ thống quản lý văn bản điều hành, các hệ thống cơ sở dữ liệu chuyên ngành... đảm bảo phù hợp với Khung kiến trúc Chính phủ số Việt Nam, Khung kiến trúc số thành phố và các tiêu chuẩn, quy chuẩn kỹ thuật, an toàn thông tin, cấu trúc thông điệp trao đổi giữa các hệ thống thông tin.</w:t>
      </w:r>
    </w:p>
    <w:p>
      <w:pPr>
        <w:bidi w:val="0"/>
        <w:spacing w:before="120" w:beforeAutospacing="0" w:after="280" w:afterAutospacing="1"/>
      </w:pPr>
      <w:r>
        <w:rPr>
          <w:rtl w:val="0"/>
        </w:rPr>
        <w:t>2. Việc kết nối, chia sẻ dữ liệu trong Kho Lưu trữ số phải bảo đảm thống nhất, an toàn, thông suốt và phù hợp với quy định tại Nghị định số 278/2025/NĐ-CP ngày 22 tháng 10 năm 2025 của Chính phủ quy định về kết nối, chia sẻ dữ liệu bắt buộc giữa các cơ quan thuộc hệ thống chính trị.</w:t>
      </w:r>
    </w:p>
    <w:p>
      <w:pPr>
        <w:bidi w:val="0"/>
        <w:spacing w:before="120" w:beforeAutospacing="0" w:after="280" w:afterAutospacing="1"/>
      </w:pPr>
      <w:r>
        <w:rPr>
          <w:rtl w:val="0"/>
        </w:rPr>
        <w:t>3. Dữ liệu được chia sẻ phải đúng phạm vi, mục đích sử dụng, phương thức, thời hạn và định dạng dữ liệu theo quy định; bảo đảm tính đầy đủ, chính xác, kịp thời, an toàn và bảo mật.</w:t>
      </w:r>
    </w:p>
    <w:p>
      <w:pPr>
        <w:bidi w:val="0"/>
        <w:spacing w:before="120" w:beforeAutospacing="0" w:after="280" w:afterAutospacing="1"/>
      </w:pPr>
      <w:r>
        <w:rPr>
          <w:rtl w:val="0"/>
        </w:rPr>
        <w:t>4. Việc kết nối, chia sẻ dữ liệu trong Kho Lưu trữ số được thực hiện qua trục tích hợp dữ liệu LGSP thành phố, phải tuân thủ quy định của pháp luật về dữ liệu, giao dịch điện tử, an toàn thông tin, an ninh mạng, bảo vệ bí mật nhà nước, bảo vệ dữ liệu cá nhân và các quy định pháp luật có liên quan.</w:t>
      </w:r>
    </w:p>
    <w:p>
      <w:pPr>
        <w:bidi w:val="0"/>
        <w:spacing w:before="120" w:beforeAutospacing="0" w:after="280" w:afterAutospacing="1"/>
      </w:pPr>
      <w:bookmarkStart w:id="20" w:name="dieu_10"/>
      <w:r>
        <w:rPr>
          <w:b/>
          <w:bCs/>
          <w:rtl w:val="0"/>
        </w:rPr>
        <w:t>Điều 10. Khai thác, sử dụng dữ liệu trong Kho Lưu trữ số</w:t>
      </w:r>
      <w:bookmarkEnd w:id="20"/>
    </w:p>
    <w:p>
      <w:pPr>
        <w:bidi w:val="0"/>
        <w:spacing w:before="120" w:beforeAutospacing="0" w:after="280" w:afterAutospacing="1"/>
      </w:pPr>
      <w:r>
        <w:rPr>
          <w:rtl w:val="0"/>
        </w:rPr>
        <w:t>1. Kho Lưu trữ số hỗ trợ tra cứu, tìm kiếm hồ sơ, tài liệu theo các trường thông tin, siêu dữ liệu của hồ sơ, tài liệu lưu trữ; hỗ trợ tìm kiếm toàn văn đối với tài liệu đã được nhận dạng ký tự (OCR) phù hợp với phạm vi dữ liệu được lưu trữ và quyền truy cập của người sử dụng, đáp ứng yêu cầu khai thác, sử dụng tài liệu lưu trữ số theo quy định của pháp luật.</w:t>
      </w:r>
    </w:p>
    <w:p>
      <w:pPr>
        <w:bidi w:val="0"/>
        <w:spacing w:before="120" w:beforeAutospacing="0" w:after="280" w:afterAutospacing="1"/>
      </w:pPr>
      <w:r>
        <w:rPr>
          <w:rtl w:val="0"/>
        </w:rPr>
        <w:t>2. Các cơ quan, đơn vị được cấp tài khoản và phân quyền khai thác, sử dụng dữ liệu thuộc phạm vi quản lý của cơ quan, đơn vị mình trong Kho Lưu trữ số phục vụ mục đích:</w:t>
      </w:r>
    </w:p>
    <w:p>
      <w:pPr>
        <w:bidi w:val="0"/>
        <w:spacing w:before="120" w:beforeAutospacing="0" w:after="280" w:afterAutospacing="1"/>
      </w:pPr>
      <w:r>
        <w:rPr>
          <w:rtl w:val="0"/>
        </w:rPr>
        <w:t>a) Phát triển kinh tế - xã hội của thành phố.</w:t>
      </w:r>
    </w:p>
    <w:p>
      <w:pPr>
        <w:bidi w:val="0"/>
        <w:spacing w:before="120" w:beforeAutospacing="0" w:after="280" w:afterAutospacing="1"/>
      </w:pPr>
      <w:r>
        <w:rPr>
          <w:rtl w:val="0"/>
        </w:rPr>
        <w:t>b) Phục vụ công tác quản lý, điều hành hoạt động của cơ quan nhà nước các cấp trên địa bàn thành phố.</w:t>
      </w:r>
    </w:p>
    <w:p>
      <w:pPr>
        <w:bidi w:val="0"/>
        <w:spacing w:before="120" w:beforeAutospacing="0" w:after="280" w:afterAutospacing="1"/>
      </w:pPr>
      <w:r>
        <w:rPr>
          <w:rtl w:val="0"/>
        </w:rPr>
        <w:t>c) Phục vụ công tác chuyển đổi số.</w:t>
      </w:r>
    </w:p>
    <w:p>
      <w:pPr>
        <w:bidi w:val="0"/>
        <w:spacing w:before="120" w:beforeAutospacing="0" w:after="280" w:afterAutospacing="1"/>
      </w:pPr>
      <w:r>
        <w:rPr>
          <w:rtl w:val="0"/>
        </w:rPr>
        <w:t>d) Thực hiện các nhiệm vụ theo chỉ đạo của UBND thành phố theo đúng chức năng, nhiệm vụ, thẩm quyền, phạm vi được phân quyền và quy định của pháp luật có liên quan.</w:t>
      </w:r>
    </w:p>
    <w:p>
      <w:pPr>
        <w:bidi w:val="0"/>
        <w:spacing w:before="120" w:beforeAutospacing="0" w:after="280" w:afterAutospacing="1"/>
      </w:pPr>
      <w:r>
        <w:rPr>
          <w:rtl w:val="0"/>
        </w:rPr>
        <w:t>3. Hình thức khai thác dữ liệu gồm:</w:t>
      </w:r>
    </w:p>
    <w:p>
      <w:pPr>
        <w:bidi w:val="0"/>
        <w:spacing w:before="120" w:beforeAutospacing="0" w:after="280" w:afterAutospacing="1"/>
      </w:pPr>
      <w:r>
        <w:rPr>
          <w:rtl w:val="0"/>
        </w:rPr>
        <w:t>a) Khai thác trực tuyến trên hệ thống.</w:t>
      </w:r>
    </w:p>
    <w:p>
      <w:pPr>
        <w:bidi w:val="0"/>
        <w:spacing w:before="120" w:beforeAutospacing="0" w:after="280" w:afterAutospacing="1"/>
      </w:pPr>
      <w:r>
        <w:rPr>
          <w:rtl w:val="0"/>
        </w:rPr>
        <w:t>b) Khai thác thông qua kết nối, chia sẻ dữ liệu.</w:t>
      </w:r>
    </w:p>
    <w:p>
      <w:pPr>
        <w:bidi w:val="0"/>
        <w:spacing w:before="120" w:beforeAutospacing="0" w:after="280" w:afterAutospacing="1"/>
      </w:pPr>
      <w:r>
        <w:rPr>
          <w:rtl w:val="0"/>
        </w:rPr>
        <w:t>c) Hình thức khác theo quy định của pháp luật.</w:t>
      </w:r>
    </w:p>
    <w:p>
      <w:pPr>
        <w:bidi w:val="0"/>
        <w:spacing w:before="120" w:beforeAutospacing="0" w:after="280" w:afterAutospacing="1"/>
      </w:pPr>
      <w:r>
        <w:rPr>
          <w:rtl w:val="0"/>
        </w:rPr>
        <w:t>4. Việc khai thác, sử dụng dữ liệu của cơ quan, đơn vị trong Kho Lưu trữ số ngoài phạm vi được phân quyền theo quy định tại khoản 2 Điều này, phải có văn bản và được sự đồng ý của cơ quan, đơn vị được giao quản lý, vận hành Kho Lưu trữ số và Chủ quản dữ liệu. Chủ quản dữ liệu quyết định việc cho phép khai thác ngoài phạm vi đã phân quyền; đơn vị quản lý, vận hành Kho Lưu trữ số thực hiện việc mở quyền trên hệ thống sau khi được Chủ quản dữ liệu chấp thuận. Việc đề nghị, phê duyệt và chấp thuận khai thác hồ sơ, tài liệu được thực hiện trên Kho Lưu trữ số; hệ thống phải lưu vết đầy đủ quá trình xử lý nhằm bảo đảm công khai, minh bạch, phục vụ công tác quản lý, kiểm tra, giám sát.</w:t>
      </w:r>
    </w:p>
    <w:p>
      <w:pPr>
        <w:bidi w:val="0"/>
        <w:spacing w:before="120" w:beforeAutospacing="0" w:after="280" w:afterAutospacing="1"/>
      </w:pPr>
      <w:bookmarkStart w:id="21" w:name="dieu_11"/>
      <w:r>
        <w:rPr>
          <w:b/>
          <w:bCs/>
          <w:rtl w:val="0"/>
        </w:rPr>
        <w:t>Điều 11. Quản lý, vận hành, duy trì hoạt động Kho Lưu trữ số</w:t>
      </w:r>
      <w:bookmarkEnd w:id="21"/>
    </w:p>
    <w:p>
      <w:pPr>
        <w:bidi w:val="0"/>
        <w:spacing w:before="120" w:beforeAutospacing="0" w:after="280" w:afterAutospacing="1"/>
      </w:pPr>
      <w:r>
        <w:rPr>
          <w:rtl w:val="0"/>
        </w:rPr>
        <w:t>1. Kho Lưu trữ số phải được đảm bảo các điều kiện kỹ thuật, an toàn thông tin để phục vụ quản lý, vận hành, duy trì hoạt động ổn định, thông suốt.</w:t>
      </w:r>
    </w:p>
    <w:p>
      <w:pPr>
        <w:bidi w:val="0"/>
        <w:spacing w:before="120" w:beforeAutospacing="0" w:after="280" w:afterAutospacing="1"/>
      </w:pPr>
      <w:r>
        <w:rPr>
          <w:rtl w:val="0"/>
        </w:rPr>
        <w:t>2. Tài khoản truy cập vào Kho Lưu trữ số được tạo lập, phân quyền cho các cơ quan, đơn vị khai thác, sử dụng theo chức năng, nhiệm vụ và quyền hạn được giao;</w:t>
      </w:r>
    </w:p>
    <w:p>
      <w:pPr>
        <w:bidi w:val="0"/>
        <w:spacing w:before="120" w:beforeAutospacing="0" w:after="280" w:afterAutospacing="1"/>
      </w:pPr>
      <w:r>
        <w:rPr>
          <w:rtl w:val="0"/>
        </w:rPr>
        <w:t>3. Đơn vị quản lý, vận hành Kho Lưu trữ số thực hiện các nhiệm vụ, giải pháp bảo quản tài liệu lưu trữ số theo quy định tại Chương V Thông tư số 05/2025/TT-BNV.</w:t>
      </w:r>
    </w:p>
    <w:p>
      <w:pPr>
        <w:bidi w:val="0"/>
        <w:spacing w:before="120" w:beforeAutospacing="0" w:after="280" w:afterAutospacing="1"/>
      </w:pPr>
      <w:bookmarkStart w:id="22" w:name="dieu_12"/>
      <w:r>
        <w:rPr>
          <w:b/>
          <w:bCs/>
          <w:rtl w:val="0"/>
        </w:rPr>
        <w:t>Điều 12. Đảm bảo an ninh mạng, an toàn thông tin, an ninh dữ liệu và bảo vệ dữ liệu cá nhân đối với Kho Lưu trữ số</w:t>
      </w:r>
      <w:bookmarkEnd w:id="22"/>
    </w:p>
    <w:p>
      <w:pPr>
        <w:bidi w:val="0"/>
        <w:spacing w:before="120" w:beforeAutospacing="0" w:after="280" w:afterAutospacing="1"/>
      </w:pPr>
      <w:r>
        <w:rPr>
          <w:rtl w:val="0"/>
        </w:rPr>
        <w:t>1. Các cơ quan, đơn vị, tổ chức, cá nhân có các hoạt động liên quan đến Kho Lưu trữ số phải tuân thủ các quy định về đảm bảo an ninh mạng, an toàn thông tin, an ninh dữ liệu và bảo vệ dữ liệu cá nhân theo quy định pháp luật hiện hành.</w:t>
      </w:r>
    </w:p>
    <w:p>
      <w:pPr>
        <w:bidi w:val="0"/>
        <w:spacing w:before="120" w:beforeAutospacing="0" w:after="280" w:afterAutospacing="1"/>
      </w:pPr>
      <w:r>
        <w:rPr>
          <w:rtl w:val="0"/>
        </w:rPr>
        <w:t>2. Việc kết nối, chia sẻ dữ liệu trong Kho Lưu trữ số phải được giám sát bởi cơ quan, đơn vị được giao quản lý, vận hành Kho Lưu trữ số thông qua công cụ quản lý, giám sát phù hợp.</w:t>
      </w:r>
    </w:p>
    <w:p>
      <w:pPr>
        <w:bidi w:val="0"/>
        <w:spacing w:before="120" w:beforeAutospacing="0" w:after="280" w:afterAutospacing="1"/>
      </w:pPr>
      <w:r>
        <w:rPr>
          <w:rtl w:val="0"/>
        </w:rPr>
        <w:t>3. Kho Lưu trữ số phải được phê duyệt cấp độ an toàn hệ thống thông tin theo quy định và phải được triển khai đầy đủ các giải pháp đảm bảo an toàn thông tin theo cấp độ được phê duyệt.</w:t>
      </w:r>
    </w:p>
    <w:p>
      <w:pPr>
        <w:bidi w:val="0"/>
        <w:spacing w:before="120" w:beforeAutospacing="0" w:after="280" w:afterAutospacing="1"/>
      </w:pPr>
      <w:r>
        <w:rPr>
          <w:rtl w:val="0"/>
        </w:rPr>
        <w:t>4. Kho Lưu trữ số phải áp dụng các biện pháp kiểm soát truy cập; phòng, chống mã độc; sao lưu, phục hồi dữ liệu; giám sát, lưu nhật ký hệ thống; định kỳ kiểm tra, đánh giá nguy cơ, lỗ hổng bảo mật và xây dựng phương án ứng phó, khắc phục sự cố; bảo vệ dữ liệu, bao gồm mã hóa dữ liệu theo mức độ nhạy cảm và cơ chế xác thực phù hợp; đối với tài khoản quản trị và tài khoản có quyền truy cập dữ liệu quan trọng phải áp dụng xác thực đa yếu tố (MFA).</w:t>
      </w:r>
    </w:p>
    <w:p>
      <w:pPr>
        <w:bidi w:val="0"/>
        <w:spacing w:before="120" w:beforeAutospacing="0" w:after="280" w:afterAutospacing="1"/>
      </w:pPr>
      <w:r>
        <w:rPr>
          <w:rtl w:val="0"/>
        </w:rPr>
        <w:t>5. Đơn vị quản lý, vận hành Kho Lưu trữ số có trách nhiệm kiểm tra, đánh giá an ninh mạng, an toàn thông tin trước khi đưa Kho Lưu trữ số vào vận hành; trước khi kết nối với Kho dữ liệu dùng chung, các hệ thống thông tin, cơ sở dữ liệu có liên quan; khi nâng cấp, thay đổi kiến trúc, tính năng, phạm vi kết nối hoặc tiếp nhận thêm nhóm dữ liệu mới.</w:t>
      </w:r>
    </w:p>
    <w:p>
      <w:pPr>
        <w:bidi w:val="0"/>
        <w:spacing w:before="120" w:beforeAutospacing="0" w:after="280" w:afterAutospacing="1"/>
      </w:pPr>
      <w:r>
        <w:rPr>
          <w:rtl w:val="0"/>
        </w:rPr>
        <w:t>6. Khi phát hiện nguy cơ hoặc sự cố rò rỉ, thất thoát dữ liệu, truy cập trái phép vào Kho Lưu trữ số, đơn vị quản lý, vận hành phải kịp thời cô lập tài khoản hoặc thành phần bị ảnh hưởng; bảo toàn dữ liệu, nhật ký hệ thống; triển khai phương án ứng phó, khắc phục và báo cáo cơ quan có thẩm quyền theo tính chất, mức độ sự cố. Trường hợp vụ việc có dấu hiệu vi phạm pháp luật, xâm phạm an ninh mạng, an ninh dữ liệu hoặc ảnh hưởng đến quốc phòng, an ninh thì thông báo ngay cho Công an thành phố, cơ quan có thẩm quyền để phối hợp xác minh, xử lý theo quy định.</w:t>
      </w:r>
    </w:p>
    <w:p>
      <w:pPr>
        <w:bidi w:val="0"/>
        <w:spacing w:before="120" w:beforeAutospacing="0" w:after="280" w:afterAutospacing="1"/>
      </w:pPr>
      <w:bookmarkStart w:id="23" w:name="chuong_3"/>
      <w:r>
        <w:rPr>
          <w:b/>
          <w:bCs/>
          <w:rtl w:val="0"/>
        </w:rPr>
        <w:t>Chương III</w:t>
      </w:r>
      <w:bookmarkEnd w:id="23"/>
      <w:r>
        <w:rPr>
          <w:b/>
          <w:bCs/>
          <w:rtl w:val="0"/>
        </w:rPr>
        <w:t xml:space="preserve"> </w:t>
      </w:r>
    </w:p>
    <w:p>
      <w:pPr>
        <w:bidi w:val="0"/>
        <w:spacing w:before="120" w:beforeAutospacing="0" w:after="280" w:afterAutospacing="1"/>
        <w:jc w:val="center"/>
      </w:pPr>
      <w:bookmarkStart w:id="24" w:name="chuong_3_name"/>
      <w:r>
        <w:rPr>
          <w:b/>
          <w:bCs/>
          <w:sz w:val="24"/>
          <w:rtl w:val="0"/>
        </w:rPr>
        <w:t>TỔ CHỨC THỰC HIỆN</w:t>
      </w:r>
      <w:bookmarkEnd w:id="24"/>
    </w:p>
    <w:p>
      <w:pPr>
        <w:bidi w:val="0"/>
        <w:spacing w:before="120" w:beforeAutospacing="0" w:after="280" w:afterAutospacing="1"/>
      </w:pPr>
      <w:bookmarkStart w:id="25" w:name="dieu_13"/>
      <w:r>
        <w:rPr>
          <w:b/>
          <w:bCs/>
          <w:rtl w:val="0"/>
        </w:rPr>
        <w:t>Điều 13. Trách nhiệm của các cơ quan, đơn vị</w:t>
      </w:r>
      <w:bookmarkEnd w:id="25"/>
    </w:p>
    <w:p>
      <w:pPr>
        <w:bidi w:val="0"/>
        <w:spacing w:before="120" w:beforeAutospacing="0" w:after="280" w:afterAutospacing="1"/>
      </w:pPr>
      <w:r>
        <w:rPr>
          <w:rtl w:val="0"/>
        </w:rPr>
        <w:t>1. Thực hiện cung cấp, cập nhật dữ liệu thuộc thẩm quyền quản lý vào Kho Lưu trữ số, đảm bảo tuân thủ theo quy định tại Điều 7 Quy chế này. Chịu trách nhiệm về tính đầy đủ, chính xác của dữ liệu cung cấp, cập nhật.</w:t>
      </w:r>
    </w:p>
    <w:p>
      <w:pPr>
        <w:bidi w:val="0"/>
        <w:spacing w:before="120" w:beforeAutospacing="0" w:after="280" w:afterAutospacing="1"/>
      </w:pPr>
      <w:r>
        <w:rPr>
          <w:rtl w:val="0"/>
        </w:rPr>
        <w:t>2. Quản lý tài khoản khai thác, sử dụng Kho Lưu trữ số được cấp; thực hiện quy định đảm bảo an toàn thông tin Kho Lưu trữ số theo quy định. Khi có sự thay đổi thông tin liên quan đến tài khoản được cấp, phải có văn bản gửi Sở Nội vụ để điều chỉnh, cập nhật kịp thời.</w:t>
      </w:r>
    </w:p>
    <w:p>
      <w:pPr>
        <w:bidi w:val="0"/>
        <w:spacing w:before="120" w:beforeAutospacing="0" w:after="280" w:afterAutospacing="1"/>
      </w:pPr>
      <w:bookmarkStart w:id="26" w:name="dieu_14"/>
      <w:r>
        <w:rPr>
          <w:b/>
          <w:bCs/>
          <w:rtl w:val="0"/>
        </w:rPr>
        <w:t>Điều 14. Trách nhiệm của Sở Nội vụ</w:t>
      </w:r>
      <w:bookmarkEnd w:id="26"/>
    </w:p>
    <w:p>
      <w:pPr>
        <w:bidi w:val="0"/>
        <w:spacing w:before="120" w:beforeAutospacing="0" w:after="280" w:afterAutospacing="1"/>
      </w:pPr>
      <w:r>
        <w:rPr>
          <w:rtl w:val="0"/>
        </w:rPr>
        <w:t>1. Thực hiện trách nhiệm của đơn vị quản lý, vận hành, duy trì hoạt động Kho Lưu trữ số theo quy định.</w:t>
      </w:r>
    </w:p>
    <w:p>
      <w:pPr>
        <w:bidi w:val="0"/>
        <w:spacing w:before="120" w:beforeAutospacing="0" w:after="280" w:afterAutospacing="1"/>
      </w:pPr>
      <w:r>
        <w:rPr>
          <w:rtl w:val="0"/>
        </w:rPr>
        <w:t>2. Là cơ quan đầu mối, có trách nhiệm điều phối, hướng dẫn, hỗ trợ kỹ thuật các cơ quan, đơn vị trong việc cung cấp, cập nhật dữ liệu và khai thác, kết nối dữ liệu trong Kho Lưu trữ số.</w:t>
      </w:r>
    </w:p>
    <w:p>
      <w:pPr>
        <w:bidi w:val="0"/>
        <w:spacing w:before="120" w:beforeAutospacing="0" w:after="280" w:afterAutospacing="1"/>
      </w:pPr>
      <w:r>
        <w:rPr>
          <w:rtl w:val="0"/>
        </w:rPr>
        <w:t>3. Chủ trì tổ chức kiểm tra, theo dõi, giám sát việc kết nối, cập nhật dữ liệu về Kho Lưu trữ số; hướng dẫn chủ quản dữ liệu tự kiểm tra, đánh giá dữ liệu; chịu trách nhiệm quản trị, duy trì, sao lưu, phục hồi phần mềm ứng dụng và cơ sở dữ liệu của Kho Lưu trữ số; xác định nhu cầu, đề xuất phương án nâng cấp hệ thống. Tổ chức tập huấn, bồi dưỡng nghiệp vụ các nội dung liên quan về xây dựng, cập nhật dữ liệu; khai thác, sử dụng dữ liệu Kho Lưu trữ số cho các cơ quan, đơn vị.</w:t>
      </w:r>
    </w:p>
    <w:p>
      <w:pPr>
        <w:bidi w:val="0"/>
        <w:spacing w:before="120" w:beforeAutospacing="0" w:after="280" w:afterAutospacing="1"/>
      </w:pPr>
      <w:r>
        <w:rPr>
          <w:rtl w:val="0"/>
        </w:rPr>
        <w:t>4. Thực hiện quy định về đảm bảo an ninh mạng, an toàn thông tin, an ninh dữ liệu và bảo vệ dữ liệu cá nhân Kho Lưu trữ số theo quy định tại Điều 12 Quy chế này và theo quy định pháp luật hiện hành.</w:t>
      </w:r>
    </w:p>
    <w:p>
      <w:pPr>
        <w:bidi w:val="0"/>
        <w:spacing w:before="120" w:beforeAutospacing="0" w:after="280" w:afterAutospacing="1"/>
      </w:pPr>
      <w:bookmarkStart w:id="27" w:name="dieu_15"/>
      <w:r>
        <w:rPr>
          <w:b/>
          <w:bCs/>
          <w:rtl w:val="0"/>
        </w:rPr>
        <w:t>Điều 15. Trách nhiệm của Sở Khoa học và Công nghệ</w:t>
      </w:r>
      <w:bookmarkEnd w:id="27"/>
    </w:p>
    <w:p>
      <w:pPr>
        <w:bidi w:val="0"/>
        <w:spacing w:before="120" w:beforeAutospacing="0" w:after="280" w:afterAutospacing="1"/>
      </w:pPr>
      <w:r>
        <w:rPr>
          <w:rtl w:val="0"/>
        </w:rPr>
        <w:t>1. Bảo đảm sao lưu, phục hồi hạ tầng kỹ thuật, nền tảng số dùng chung, kết nối và khả năng liên thông, chia sẻ dữ liệu của Kho Lưu trữ số với các hệ thống thông tin, cơ sở dữ liệu của thành phố theo Khung kiến trúc số và các quy định hiện hành.</w:t>
      </w:r>
    </w:p>
    <w:p>
      <w:pPr>
        <w:bidi w:val="0"/>
        <w:spacing w:before="120" w:beforeAutospacing="0" w:after="280" w:afterAutospacing="1"/>
      </w:pPr>
      <w:r>
        <w:rPr>
          <w:rtl w:val="0"/>
        </w:rPr>
        <w:t>2. Hướng dẫn, hỗ trợ việc kết nối Kho Lưu trữ số thông qua Trục tích hợp, chia sẻ dữ liệu (LGSP) của thành phố; bảo đảm khả năng tích hợp, chia sẻ dữ liệu với các hệ thống thông tin, cơ sở dữ liệu có liên quan.</w:t>
      </w:r>
    </w:p>
    <w:p>
      <w:pPr>
        <w:bidi w:val="0"/>
        <w:spacing w:before="120" w:beforeAutospacing="0" w:after="280" w:afterAutospacing="1"/>
      </w:pPr>
      <w:r>
        <w:rPr>
          <w:rtl w:val="0"/>
        </w:rPr>
        <w:t>3. Phối hợp triển khai các giải pháp đảm bảo an ninh mạng, an toàn thông tin mạng đối với Kho Lưu trữ số theo quy định của pháp luật; hướng dẫn áp dụng các biện pháp bảo mật, giám sát, sao lưu, phục hồi dữ liệu và ứng cứu sự cố an toàn thông tin khi cần thiết.</w:t>
      </w:r>
    </w:p>
    <w:p>
      <w:pPr>
        <w:bidi w:val="0"/>
        <w:spacing w:before="120" w:beforeAutospacing="0" w:after="280" w:afterAutospacing="1"/>
      </w:pPr>
      <w:bookmarkStart w:id="28" w:name="dieu_16"/>
      <w:r>
        <w:rPr>
          <w:b/>
          <w:bCs/>
          <w:rtl w:val="0"/>
        </w:rPr>
        <w:t>Điều 16. Trách nhiệm của các cơ quan, đơn vị, tổ chức, cá nhân trong khai thác, sử dụng dữ liệu trong Kho Lưu trữ số</w:t>
      </w:r>
      <w:bookmarkEnd w:id="28"/>
    </w:p>
    <w:p>
      <w:pPr>
        <w:bidi w:val="0"/>
        <w:spacing w:before="120" w:beforeAutospacing="0" w:after="280" w:afterAutospacing="1"/>
      </w:pPr>
      <w:r>
        <w:rPr>
          <w:rtl w:val="0"/>
        </w:rPr>
        <w:t>1. Thực hiện việc khai thác, sử dụng dữ liệu trong Kho Lưu trữ số theo quy định tại Điều 10 Quy chế này và các quy định pháp luật hiện hành.</w:t>
      </w:r>
    </w:p>
    <w:p>
      <w:pPr>
        <w:bidi w:val="0"/>
        <w:spacing w:before="120" w:beforeAutospacing="0" w:after="280" w:afterAutospacing="1"/>
      </w:pPr>
      <w:r>
        <w:rPr>
          <w:rtl w:val="0"/>
        </w:rPr>
        <w:t>2. Đảm bảo an ninh mạng, an toàn thông tin, an ninh dữ liệu và bảo vệ dữ liệu cá nhân Kho Lưu trữ số theo quy định tại khoản 1 Điều 12 Quy chế này và các quy định pháp luật hiện hành.</w:t>
      </w:r>
    </w:p>
    <w:p>
      <w:pPr>
        <w:bidi w:val="0"/>
        <w:spacing w:before="120" w:beforeAutospacing="0" w:after="280" w:afterAutospacing="1"/>
      </w:pPr>
      <w:r>
        <w:rPr>
          <w:rtl w:val="0"/>
        </w:rPr>
        <w:t>3. Các hành vi bị nghiêm cấm trong khai thác, vận hành Kho Lưu trữ số gồm: Cho mượn, chia sẻ tài khoản; truy cập, sửa đổi, xóa, hủy hoặc cung cấp dữ liệu trái thẩm quyền; làm sai lệch dữ liệu; sao chép, trích xuất dữ liệu vượt quá phạm vi được phân quyền; can thiệp, vô hiệu hóa hoặc làm ảnh hưởng đến cơ chế bảo mật, giám sát, ghi nhật ký và các chức năng bảo đảm an toàn của Kho Lưu trữ số. Mọi hành vi vi phạm phải chịu trách nhiệm theo quy định pháp luật hiện hành.</w:t>
      </w:r>
    </w:p>
    <w:p>
      <w:pPr>
        <w:bidi w:val="0"/>
        <w:spacing w:before="120" w:beforeAutospacing="0" w:after="280" w:afterAutospacing="1"/>
      </w:pPr>
      <w:bookmarkStart w:id="29" w:name="dieu_17"/>
      <w:r>
        <w:rPr>
          <w:b/>
          <w:bCs/>
          <w:rtl w:val="0"/>
        </w:rPr>
        <w:t>Điều 17. Điều khoản thi hành</w:t>
      </w:r>
      <w:bookmarkEnd w:id="29"/>
    </w:p>
    <w:p>
      <w:pPr>
        <w:bidi w:val="0"/>
        <w:spacing w:before="120" w:beforeAutospacing="0" w:after="280" w:afterAutospacing="1"/>
      </w:pPr>
      <w:r>
        <w:rPr>
          <w:rtl w:val="0"/>
        </w:rPr>
        <w:t>Trong quá trình thực hiện, nếu phát sinh khó khăn, vướng mắc; các cơ quan, đơn vị, tổ chức, cá nhân có liên quan phản ánh về Sở Nội vụ để tổng hợp, báo cáo UBND thành phố xem xét, quyết định./.</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