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7E0" w:firstRow="1" w:lastRow="1" w:firstColumn="1" w:lastColumn="1" w:noHBand="1" w:noVBand="1"/>
      </w:tblPr>
      <w:tblGrid>
        <w:gridCol w:w="3232"/>
        <w:gridCol w:w="5837"/>
      </w:tblGrid>
      <w:tr w:rsidR="00DE4D59" w:rsidRPr="00701B11" w14:paraId="6918D053" w14:textId="77777777" w:rsidTr="00701B11">
        <w:tc>
          <w:tcPr>
            <w:tcW w:w="1782" w:type="pct"/>
          </w:tcPr>
          <w:p w14:paraId="34BA78DE" w14:textId="585B968D" w:rsidR="00DE4D59" w:rsidRPr="00701B11" w:rsidRDefault="00000000" w:rsidP="00837B76">
            <w:pPr>
              <w:adjustRightInd w:val="0"/>
              <w:snapToGrid w:val="0"/>
              <w:spacing w:after="0" w:line="240" w:lineRule="auto"/>
              <w:jc w:val="center"/>
              <w:rPr>
                <w:rFonts w:asciiTheme="majorHAnsi" w:hAnsiTheme="majorHAnsi" w:cstheme="majorHAnsi"/>
                <w:color w:val="000000" w:themeColor="text1"/>
                <w:sz w:val="28"/>
                <w:szCs w:val="28"/>
              </w:rPr>
            </w:pPr>
            <w:bookmarkStart w:id="0" w:name="_Hlk228803706"/>
            <w:r w:rsidRPr="00701B11">
              <w:rPr>
                <w:rFonts w:asciiTheme="majorHAnsi" w:hAnsiTheme="majorHAnsi" w:cstheme="majorHAnsi"/>
                <w:b/>
                <w:color w:val="000000" w:themeColor="text1"/>
                <w:sz w:val="28"/>
                <w:szCs w:val="28"/>
              </w:rPr>
              <w:t>BỘ</w:t>
            </w:r>
            <w:r w:rsidR="00837B76" w:rsidRPr="00701B11">
              <w:rPr>
                <w:rFonts w:asciiTheme="majorHAnsi" w:hAnsiTheme="majorHAnsi" w:cstheme="majorHAnsi"/>
                <w:b/>
                <w:color w:val="000000" w:themeColor="text1"/>
                <w:sz w:val="28"/>
                <w:szCs w:val="28"/>
              </w:rPr>
              <w:t xml:space="preserve"> </w:t>
            </w:r>
            <w:r w:rsidRPr="00701B11">
              <w:rPr>
                <w:rFonts w:asciiTheme="majorHAnsi" w:hAnsiTheme="majorHAnsi" w:cstheme="majorHAnsi"/>
                <w:b/>
                <w:color w:val="000000" w:themeColor="text1"/>
                <w:sz w:val="28"/>
                <w:szCs w:val="28"/>
              </w:rPr>
              <w:t>TÀI</w:t>
            </w:r>
            <w:r w:rsidR="00837B76" w:rsidRPr="00701B11">
              <w:rPr>
                <w:rFonts w:asciiTheme="majorHAnsi" w:hAnsiTheme="majorHAnsi" w:cstheme="majorHAnsi"/>
                <w:b/>
                <w:color w:val="000000" w:themeColor="text1"/>
                <w:sz w:val="28"/>
                <w:szCs w:val="28"/>
              </w:rPr>
              <w:t xml:space="preserve"> </w:t>
            </w:r>
            <w:r w:rsidRPr="00701B11">
              <w:rPr>
                <w:rFonts w:asciiTheme="majorHAnsi" w:hAnsiTheme="majorHAnsi" w:cstheme="majorHAnsi"/>
                <w:b/>
                <w:color w:val="000000" w:themeColor="text1"/>
                <w:sz w:val="28"/>
                <w:szCs w:val="28"/>
              </w:rPr>
              <w:t>CHÍNH</w:t>
            </w:r>
            <w:r w:rsidRPr="00701B11">
              <w:rPr>
                <w:rFonts w:asciiTheme="majorHAnsi" w:hAnsiTheme="majorHAnsi" w:cstheme="majorHAnsi"/>
                <w:color w:val="000000" w:themeColor="text1"/>
                <w:sz w:val="28"/>
                <w:szCs w:val="28"/>
              </w:rPr>
              <w:br/>
            </w:r>
            <w:r w:rsidRPr="00701B11">
              <w:rPr>
                <w:rFonts w:asciiTheme="majorHAnsi" w:hAnsiTheme="majorHAnsi" w:cstheme="majorHAnsi"/>
                <w:color w:val="000000" w:themeColor="text1"/>
                <w:sz w:val="28"/>
                <w:szCs w:val="28"/>
                <w:vertAlign w:val="superscript"/>
              </w:rPr>
              <w:t>_______</w:t>
            </w:r>
            <w:r w:rsidRPr="00701B11">
              <w:rPr>
                <w:rFonts w:asciiTheme="majorHAnsi" w:hAnsiTheme="majorHAnsi" w:cstheme="majorHAnsi"/>
                <w:color w:val="000000" w:themeColor="text1"/>
                <w:sz w:val="28"/>
                <w:szCs w:val="28"/>
              </w:rPr>
              <w:br/>
            </w:r>
            <w:r w:rsidR="00837B76" w:rsidRPr="00701B11">
              <w:rPr>
                <w:rFonts w:asciiTheme="majorHAnsi" w:hAnsiTheme="majorHAnsi" w:cstheme="majorHAnsi"/>
                <w:color w:val="000000" w:themeColor="text1"/>
                <w:sz w:val="28"/>
                <w:szCs w:val="28"/>
                <w:lang w:val="en-US"/>
              </w:rPr>
              <w:br/>
            </w:r>
            <w:r w:rsidRPr="00701B11">
              <w:rPr>
                <w:rFonts w:asciiTheme="majorHAnsi" w:hAnsiTheme="majorHAnsi" w:cstheme="majorHAnsi"/>
                <w:color w:val="000000" w:themeColor="text1"/>
                <w:sz w:val="28"/>
                <w:szCs w:val="28"/>
              </w:rPr>
              <w:t>Số:</w:t>
            </w:r>
            <w:r w:rsidR="00837B76" w:rsidRPr="00701B11">
              <w:rPr>
                <w:rFonts w:asciiTheme="majorHAnsi" w:hAnsiTheme="majorHAnsi" w:cstheme="majorHAnsi"/>
                <w:color w:val="000000" w:themeColor="text1"/>
                <w:sz w:val="28"/>
                <w:szCs w:val="28"/>
              </w:rPr>
              <w:t xml:space="preserve"> </w:t>
            </w:r>
            <w:r w:rsidRPr="00701B11">
              <w:rPr>
                <w:rFonts w:asciiTheme="majorHAnsi" w:hAnsiTheme="majorHAnsi" w:cstheme="majorHAnsi"/>
                <w:color w:val="000000" w:themeColor="text1"/>
                <w:sz w:val="28"/>
                <w:szCs w:val="28"/>
              </w:rPr>
              <w:t>30/2026/TT-BTC</w:t>
            </w:r>
          </w:p>
        </w:tc>
        <w:tc>
          <w:tcPr>
            <w:tcW w:w="3218" w:type="pct"/>
          </w:tcPr>
          <w:p w14:paraId="70BBA0E8" w14:textId="01FB42D3" w:rsidR="00DE4D59" w:rsidRPr="00701B11" w:rsidRDefault="00000000" w:rsidP="00837B76">
            <w:pPr>
              <w:adjustRightInd w:val="0"/>
              <w:snapToGrid w:val="0"/>
              <w:spacing w:after="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CỘNG</w:t>
            </w:r>
            <w:r w:rsidR="00837B76" w:rsidRPr="00701B11">
              <w:rPr>
                <w:rFonts w:asciiTheme="majorHAnsi" w:hAnsiTheme="majorHAnsi" w:cstheme="majorHAnsi"/>
                <w:b/>
                <w:color w:val="000000" w:themeColor="text1"/>
                <w:sz w:val="28"/>
                <w:szCs w:val="28"/>
              </w:rPr>
              <w:t xml:space="preserve"> </w:t>
            </w:r>
            <w:r w:rsidRPr="00701B11">
              <w:rPr>
                <w:rFonts w:asciiTheme="majorHAnsi" w:hAnsiTheme="majorHAnsi" w:cstheme="majorHAnsi"/>
                <w:b/>
                <w:color w:val="000000" w:themeColor="text1"/>
                <w:sz w:val="28"/>
                <w:szCs w:val="28"/>
              </w:rPr>
              <w:t>HÒA</w:t>
            </w:r>
            <w:r w:rsidR="00837B76" w:rsidRPr="00701B11">
              <w:rPr>
                <w:rFonts w:asciiTheme="majorHAnsi" w:hAnsiTheme="majorHAnsi" w:cstheme="majorHAnsi"/>
                <w:b/>
                <w:color w:val="000000" w:themeColor="text1"/>
                <w:sz w:val="28"/>
                <w:szCs w:val="28"/>
              </w:rPr>
              <w:t xml:space="preserve"> </w:t>
            </w:r>
            <w:r w:rsidRPr="00701B11">
              <w:rPr>
                <w:rFonts w:asciiTheme="majorHAnsi" w:hAnsiTheme="majorHAnsi" w:cstheme="majorHAnsi"/>
                <w:b/>
                <w:color w:val="000000" w:themeColor="text1"/>
                <w:sz w:val="28"/>
                <w:szCs w:val="28"/>
              </w:rPr>
              <w:t>XÃ</w:t>
            </w:r>
            <w:r w:rsidR="00837B76" w:rsidRPr="00701B11">
              <w:rPr>
                <w:rFonts w:asciiTheme="majorHAnsi" w:hAnsiTheme="majorHAnsi" w:cstheme="majorHAnsi"/>
                <w:b/>
                <w:color w:val="000000" w:themeColor="text1"/>
                <w:sz w:val="28"/>
                <w:szCs w:val="28"/>
              </w:rPr>
              <w:t xml:space="preserve"> </w:t>
            </w:r>
            <w:r w:rsidRPr="00701B11">
              <w:rPr>
                <w:rFonts w:asciiTheme="majorHAnsi" w:hAnsiTheme="majorHAnsi" w:cstheme="majorHAnsi"/>
                <w:b/>
                <w:color w:val="000000" w:themeColor="text1"/>
                <w:sz w:val="28"/>
                <w:szCs w:val="28"/>
              </w:rPr>
              <w:t>HỘI</w:t>
            </w:r>
            <w:r w:rsidR="00837B76" w:rsidRPr="00701B11">
              <w:rPr>
                <w:rFonts w:asciiTheme="majorHAnsi" w:hAnsiTheme="majorHAnsi" w:cstheme="majorHAnsi"/>
                <w:b/>
                <w:color w:val="000000" w:themeColor="text1"/>
                <w:sz w:val="28"/>
                <w:szCs w:val="28"/>
              </w:rPr>
              <w:t xml:space="preserve"> </w:t>
            </w:r>
            <w:r w:rsidRPr="00701B11">
              <w:rPr>
                <w:rFonts w:asciiTheme="majorHAnsi" w:hAnsiTheme="majorHAnsi" w:cstheme="majorHAnsi"/>
                <w:b/>
                <w:color w:val="000000" w:themeColor="text1"/>
                <w:sz w:val="28"/>
                <w:szCs w:val="28"/>
              </w:rPr>
              <w:t>CHỦ</w:t>
            </w:r>
            <w:r w:rsidR="00837B76" w:rsidRPr="00701B11">
              <w:rPr>
                <w:rFonts w:asciiTheme="majorHAnsi" w:hAnsiTheme="majorHAnsi" w:cstheme="majorHAnsi"/>
                <w:b/>
                <w:color w:val="000000" w:themeColor="text1"/>
                <w:sz w:val="28"/>
                <w:szCs w:val="28"/>
              </w:rPr>
              <w:t xml:space="preserve"> </w:t>
            </w:r>
            <w:r w:rsidRPr="00701B11">
              <w:rPr>
                <w:rFonts w:asciiTheme="majorHAnsi" w:hAnsiTheme="majorHAnsi" w:cstheme="majorHAnsi"/>
                <w:b/>
                <w:color w:val="000000" w:themeColor="text1"/>
                <w:sz w:val="28"/>
                <w:szCs w:val="28"/>
              </w:rPr>
              <w:t>NGHĨA</w:t>
            </w:r>
            <w:r w:rsidR="00837B76" w:rsidRPr="00701B11">
              <w:rPr>
                <w:rFonts w:asciiTheme="majorHAnsi" w:hAnsiTheme="majorHAnsi" w:cstheme="majorHAnsi"/>
                <w:b/>
                <w:color w:val="000000" w:themeColor="text1"/>
                <w:sz w:val="28"/>
                <w:szCs w:val="28"/>
              </w:rPr>
              <w:t xml:space="preserve"> </w:t>
            </w:r>
            <w:r w:rsidRPr="00701B11">
              <w:rPr>
                <w:rFonts w:asciiTheme="majorHAnsi" w:hAnsiTheme="majorHAnsi" w:cstheme="majorHAnsi"/>
                <w:b/>
                <w:color w:val="000000" w:themeColor="text1"/>
                <w:sz w:val="28"/>
                <w:szCs w:val="28"/>
              </w:rPr>
              <w:t>VIỆT</w:t>
            </w:r>
            <w:r w:rsidR="00837B76" w:rsidRPr="00701B11">
              <w:rPr>
                <w:rFonts w:asciiTheme="majorHAnsi" w:hAnsiTheme="majorHAnsi" w:cstheme="majorHAnsi"/>
                <w:b/>
                <w:color w:val="000000" w:themeColor="text1"/>
                <w:sz w:val="28"/>
                <w:szCs w:val="28"/>
              </w:rPr>
              <w:t xml:space="preserve"> </w:t>
            </w:r>
            <w:r w:rsidRPr="00701B11">
              <w:rPr>
                <w:rFonts w:asciiTheme="majorHAnsi" w:hAnsiTheme="majorHAnsi" w:cstheme="majorHAnsi"/>
                <w:b/>
                <w:color w:val="000000" w:themeColor="text1"/>
                <w:sz w:val="28"/>
                <w:szCs w:val="28"/>
              </w:rPr>
              <w:t>NAM</w:t>
            </w:r>
            <w:r w:rsidRPr="00701B11">
              <w:rPr>
                <w:rFonts w:asciiTheme="majorHAnsi" w:hAnsiTheme="majorHAnsi" w:cstheme="majorHAnsi"/>
                <w:color w:val="000000" w:themeColor="text1"/>
                <w:sz w:val="28"/>
                <w:szCs w:val="28"/>
              </w:rPr>
              <w:br/>
            </w:r>
            <w:r w:rsidRPr="00701B11">
              <w:rPr>
                <w:rFonts w:asciiTheme="majorHAnsi" w:hAnsiTheme="majorHAnsi" w:cstheme="majorHAnsi"/>
                <w:b/>
                <w:color w:val="000000" w:themeColor="text1"/>
                <w:sz w:val="28"/>
                <w:szCs w:val="28"/>
              </w:rPr>
              <w:t>Độc</w:t>
            </w:r>
            <w:r w:rsidR="00837B76" w:rsidRPr="00701B11">
              <w:rPr>
                <w:rFonts w:asciiTheme="majorHAnsi" w:hAnsiTheme="majorHAnsi" w:cstheme="majorHAnsi"/>
                <w:b/>
                <w:color w:val="000000" w:themeColor="text1"/>
                <w:sz w:val="28"/>
                <w:szCs w:val="28"/>
              </w:rPr>
              <w:t xml:space="preserve"> </w:t>
            </w:r>
            <w:r w:rsidRPr="00701B11">
              <w:rPr>
                <w:rFonts w:asciiTheme="majorHAnsi" w:hAnsiTheme="majorHAnsi" w:cstheme="majorHAnsi"/>
                <w:b/>
                <w:color w:val="000000" w:themeColor="text1"/>
                <w:sz w:val="28"/>
                <w:szCs w:val="28"/>
              </w:rPr>
              <w:t>lập</w:t>
            </w:r>
            <w:r w:rsidR="00837B76" w:rsidRPr="00701B11">
              <w:rPr>
                <w:rFonts w:asciiTheme="majorHAnsi" w:hAnsiTheme="majorHAnsi" w:cstheme="majorHAnsi"/>
                <w:b/>
                <w:color w:val="000000" w:themeColor="text1"/>
                <w:sz w:val="28"/>
                <w:szCs w:val="28"/>
              </w:rPr>
              <w:t xml:space="preserve"> </w:t>
            </w:r>
            <w:r w:rsidRPr="00701B11">
              <w:rPr>
                <w:rFonts w:asciiTheme="majorHAnsi" w:hAnsiTheme="majorHAnsi" w:cstheme="majorHAnsi"/>
                <w:b/>
                <w:color w:val="000000" w:themeColor="text1"/>
                <w:sz w:val="28"/>
                <w:szCs w:val="28"/>
              </w:rPr>
              <w:t>–</w:t>
            </w:r>
            <w:r w:rsidR="00837B76" w:rsidRPr="00701B11">
              <w:rPr>
                <w:rFonts w:asciiTheme="majorHAnsi" w:hAnsiTheme="majorHAnsi" w:cstheme="majorHAnsi"/>
                <w:b/>
                <w:color w:val="000000" w:themeColor="text1"/>
                <w:sz w:val="28"/>
                <w:szCs w:val="28"/>
              </w:rPr>
              <w:t xml:space="preserve"> </w:t>
            </w:r>
            <w:r w:rsidRPr="00701B11">
              <w:rPr>
                <w:rFonts w:asciiTheme="majorHAnsi" w:hAnsiTheme="majorHAnsi" w:cstheme="majorHAnsi"/>
                <w:b/>
                <w:color w:val="000000" w:themeColor="text1"/>
                <w:sz w:val="28"/>
                <w:szCs w:val="28"/>
              </w:rPr>
              <w:t>Tự</w:t>
            </w:r>
            <w:r w:rsidR="00837B76" w:rsidRPr="00701B11">
              <w:rPr>
                <w:rFonts w:asciiTheme="majorHAnsi" w:hAnsiTheme="majorHAnsi" w:cstheme="majorHAnsi"/>
                <w:b/>
                <w:color w:val="000000" w:themeColor="text1"/>
                <w:sz w:val="28"/>
                <w:szCs w:val="28"/>
              </w:rPr>
              <w:t xml:space="preserve"> </w:t>
            </w:r>
            <w:r w:rsidRPr="00701B11">
              <w:rPr>
                <w:rFonts w:asciiTheme="majorHAnsi" w:hAnsiTheme="majorHAnsi" w:cstheme="majorHAnsi"/>
                <w:b/>
                <w:color w:val="000000" w:themeColor="text1"/>
                <w:sz w:val="28"/>
                <w:szCs w:val="28"/>
              </w:rPr>
              <w:t>do</w:t>
            </w:r>
            <w:r w:rsidR="00837B76" w:rsidRPr="00701B11">
              <w:rPr>
                <w:rFonts w:asciiTheme="majorHAnsi" w:hAnsiTheme="majorHAnsi" w:cstheme="majorHAnsi"/>
                <w:b/>
                <w:color w:val="000000" w:themeColor="text1"/>
                <w:sz w:val="28"/>
                <w:szCs w:val="28"/>
              </w:rPr>
              <w:t xml:space="preserve"> </w:t>
            </w:r>
            <w:r w:rsidRPr="00701B11">
              <w:rPr>
                <w:rFonts w:asciiTheme="majorHAnsi" w:hAnsiTheme="majorHAnsi" w:cstheme="majorHAnsi"/>
                <w:b/>
                <w:color w:val="000000" w:themeColor="text1"/>
                <w:sz w:val="28"/>
                <w:szCs w:val="28"/>
              </w:rPr>
              <w:t>–</w:t>
            </w:r>
            <w:r w:rsidR="00837B76" w:rsidRPr="00701B11">
              <w:rPr>
                <w:rFonts w:asciiTheme="majorHAnsi" w:hAnsiTheme="majorHAnsi" w:cstheme="majorHAnsi"/>
                <w:b/>
                <w:color w:val="000000" w:themeColor="text1"/>
                <w:sz w:val="28"/>
                <w:szCs w:val="28"/>
              </w:rPr>
              <w:t xml:space="preserve"> </w:t>
            </w:r>
            <w:r w:rsidRPr="00701B11">
              <w:rPr>
                <w:rFonts w:asciiTheme="majorHAnsi" w:hAnsiTheme="majorHAnsi" w:cstheme="majorHAnsi"/>
                <w:b/>
                <w:color w:val="000000" w:themeColor="text1"/>
                <w:sz w:val="28"/>
                <w:szCs w:val="28"/>
              </w:rPr>
              <w:t>Hạnh</w:t>
            </w:r>
            <w:r w:rsidR="00837B76" w:rsidRPr="00701B11">
              <w:rPr>
                <w:rFonts w:asciiTheme="majorHAnsi" w:hAnsiTheme="majorHAnsi" w:cstheme="majorHAnsi"/>
                <w:b/>
                <w:color w:val="000000" w:themeColor="text1"/>
                <w:sz w:val="28"/>
                <w:szCs w:val="28"/>
              </w:rPr>
              <w:t xml:space="preserve"> </w:t>
            </w:r>
            <w:r w:rsidRPr="00701B11">
              <w:rPr>
                <w:rFonts w:asciiTheme="majorHAnsi" w:hAnsiTheme="majorHAnsi" w:cstheme="majorHAnsi"/>
                <w:b/>
                <w:color w:val="000000" w:themeColor="text1"/>
                <w:sz w:val="28"/>
                <w:szCs w:val="28"/>
              </w:rPr>
              <w:t>phúc</w:t>
            </w:r>
            <w:r w:rsidRPr="00701B11">
              <w:rPr>
                <w:rFonts w:asciiTheme="majorHAnsi" w:hAnsiTheme="majorHAnsi" w:cstheme="majorHAnsi"/>
                <w:color w:val="000000" w:themeColor="text1"/>
                <w:sz w:val="28"/>
                <w:szCs w:val="28"/>
              </w:rPr>
              <w:br/>
            </w:r>
            <w:r w:rsidRPr="00701B11">
              <w:rPr>
                <w:rFonts w:asciiTheme="majorHAnsi" w:hAnsiTheme="majorHAnsi" w:cstheme="majorHAnsi"/>
                <w:color w:val="000000" w:themeColor="text1"/>
                <w:sz w:val="28"/>
                <w:szCs w:val="28"/>
                <w:vertAlign w:val="superscript"/>
              </w:rPr>
              <w:t>_________________</w:t>
            </w:r>
            <w:r w:rsidRPr="00701B11">
              <w:rPr>
                <w:rFonts w:asciiTheme="majorHAnsi" w:hAnsiTheme="majorHAnsi" w:cstheme="majorHAnsi"/>
                <w:color w:val="000000" w:themeColor="text1"/>
                <w:sz w:val="28"/>
                <w:szCs w:val="28"/>
              </w:rPr>
              <w:br/>
            </w:r>
            <w:r w:rsidRPr="00701B11">
              <w:rPr>
                <w:rFonts w:asciiTheme="majorHAnsi" w:hAnsiTheme="majorHAnsi" w:cstheme="majorHAnsi"/>
                <w:i/>
                <w:color w:val="000000" w:themeColor="text1"/>
                <w:sz w:val="28"/>
                <w:szCs w:val="28"/>
              </w:rPr>
              <w:t>Hà</w:t>
            </w:r>
            <w:r w:rsidR="00837B76" w:rsidRPr="00701B11">
              <w:rPr>
                <w:rFonts w:asciiTheme="majorHAnsi" w:hAnsiTheme="majorHAnsi" w:cstheme="majorHAnsi"/>
                <w:i/>
                <w:color w:val="000000" w:themeColor="text1"/>
                <w:sz w:val="28"/>
                <w:szCs w:val="28"/>
              </w:rPr>
              <w:t xml:space="preserve"> </w:t>
            </w:r>
            <w:r w:rsidRPr="00701B11">
              <w:rPr>
                <w:rFonts w:asciiTheme="majorHAnsi" w:hAnsiTheme="majorHAnsi" w:cstheme="majorHAnsi"/>
                <w:i/>
                <w:color w:val="000000" w:themeColor="text1"/>
                <w:sz w:val="28"/>
                <w:szCs w:val="28"/>
              </w:rPr>
              <w:t>Nội,</w:t>
            </w:r>
            <w:r w:rsidR="00837B76" w:rsidRPr="00701B11">
              <w:rPr>
                <w:rFonts w:asciiTheme="majorHAnsi" w:hAnsiTheme="majorHAnsi" w:cstheme="majorHAnsi"/>
                <w:i/>
                <w:color w:val="000000" w:themeColor="text1"/>
                <w:sz w:val="28"/>
                <w:szCs w:val="28"/>
              </w:rPr>
              <w:t xml:space="preserve"> </w:t>
            </w:r>
            <w:r w:rsidRPr="00701B11">
              <w:rPr>
                <w:rFonts w:asciiTheme="majorHAnsi" w:hAnsiTheme="majorHAnsi" w:cstheme="majorHAnsi"/>
                <w:i/>
                <w:color w:val="000000" w:themeColor="text1"/>
                <w:sz w:val="28"/>
                <w:szCs w:val="28"/>
              </w:rPr>
              <w:t>ngày</w:t>
            </w:r>
            <w:r w:rsidR="00837B76" w:rsidRPr="00701B11">
              <w:rPr>
                <w:rFonts w:asciiTheme="majorHAnsi" w:hAnsiTheme="majorHAnsi" w:cstheme="majorHAnsi"/>
                <w:i/>
                <w:color w:val="000000" w:themeColor="text1"/>
                <w:sz w:val="28"/>
                <w:szCs w:val="28"/>
              </w:rPr>
              <w:t xml:space="preserve"> </w:t>
            </w:r>
            <w:r w:rsidRPr="00701B11">
              <w:rPr>
                <w:rFonts w:asciiTheme="majorHAnsi" w:hAnsiTheme="majorHAnsi" w:cstheme="majorHAnsi"/>
                <w:i/>
                <w:color w:val="000000" w:themeColor="text1"/>
                <w:sz w:val="28"/>
                <w:szCs w:val="28"/>
              </w:rPr>
              <w:t>27</w:t>
            </w:r>
            <w:r w:rsidR="00837B76" w:rsidRPr="00701B11">
              <w:rPr>
                <w:rFonts w:asciiTheme="majorHAnsi" w:hAnsiTheme="majorHAnsi" w:cstheme="majorHAnsi"/>
                <w:i/>
                <w:color w:val="000000" w:themeColor="text1"/>
                <w:sz w:val="28"/>
                <w:szCs w:val="28"/>
              </w:rPr>
              <w:t xml:space="preserve"> </w:t>
            </w:r>
            <w:r w:rsidRPr="00701B11">
              <w:rPr>
                <w:rFonts w:asciiTheme="majorHAnsi" w:hAnsiTheme="majorHAnsi" w:cstheme="majorHAnsi"/>
                <w:i/>
                <w:color w:val="000000" w:themeColor="text1"/>
                <w:sz w:val="28"/>
                <w:szCs w:val="28"/>
              </w:rPr>
              <w:t>tháng</w:t>
            </w:r>
            <w:r w:rsidR="00837B76" w:rsidRPr="00701B11">
              <w:rPr>
                <w:rFonts w:asciiTheme="majorHAnsi" w:hAnsiTheme="majorHAnsi" w:cstheme="majorHAnsi"/>
                <w:i/>
                <w:color w:val="000000" w:themeColor="text1"/>
                <w:sz w:val="28"/>
                <w:szCs w:val="28"/>
              </w:rPr>
              <w:t xml:space="preserve"> </w:t>
            </w:r>
            <w:r w:rsidRPr="00701B11">
              <w:rPr>
                <w:rFonts w:asciiTheme="majorHAnsi" w:hAnsiTheme="majorHAnsi" w:cstheme="majorHAnsi"/>
                <w:i/>
                <w:color w:val="000000" w:themeColor="text1"/>
                <w:sz w:val="28"/>
                <w:szCs w:val="28"/>
              </w:rPr>
              <w:t>3</w:t>
            </w:r>
            <w:r w:rsidR="00837B76" w:rsidRPr="00701B11">
              <w:rPr>
                <w:rFonts w:asciiTheme="majorHAnsi" w:hAnsiTheme="majorHAnsi" w:cstheme="majorHAnsi"/>
                <w:i/>
                <w:color w:val="000000" w:themeColor="text1"/>
                <w:sz w:val="28"/>
                <w:szCs w:val="28"/>
              </w:rPr>
              <w:t xml:space="preserve"> </w:t>
            </w:r>
            <w:r w:rsidRPr="00701B11">
              <w:rPr>
                <w:rFonts w:asciiTheme="majorHAnsi" w:hAnsiTheme="majorHAnsi" w:cstheme="majorHAnsi"/>
                <w:i/>
                <w:color w:val="000000" w:themeColor="text1"/>
                <w:sz w:val="28"/>
                <w:szCs w:val="28"/>
              </w:rPr>
              <w:t>năm</w:t>
            </w:r>
            <w:r w:rsidR="00837B76" w:rsidRPr="00701B11">
              <w:rPr>
                <w:rFonts w:asciiTheme="majorHAnsi" w:hAnsiTheme="majorHAnsi" w:cstheme="majorHAnsi"/>
                <w:i/>
                <w:color w:val="000000" w:themeColor="text1"/>
                <w:sz w:val="28"/>
                <w:szCs w:val="28"/>
              </w:rPr>
              <w:t xml:space="preserve"> </w:t>
            </w:r>
            <w:r w:rsidRPr="00701B11">
              <w:rPr>
                <w:rFonts w:asciiTheme="majorHAnsi" w:hAnsiTheme="majorHAnsi" w:cstheme="majorHAnsi"/>
                <w:i/>
                <w:color w:val="000000" w:themeColor="text1"/>
                <w:sz w:val="28"/>
                <w:szCs w:val="28"/>
              </w:rPr>
              <w:t>2026</w:t>
            </w:r>
          </w:p>
        </w:tc>
      </w:tr>
    </w:tbl>
    <w:p w14:paraId="75205AFA" w14:textId="77777777" w:rsidR="00837B76" w:rsidRPr="00701B11" w:rsidRDefault="00837B76" w:rsidP="00837B76">
      <w:pPr>
        <w:adjustRightInd w:val="0"/>
        <w:snapToGrid w:val="0"/>
        <w:spacing w:after="0" w:line="240" w:lineRule="auto"/>
        <w:jc w:val="center"/>
        <w:rPr>
          <w:rFonts w:asciiTheme="majorHAnsi" w:hAnsiTheme="majorHAnsi" w:cstheme="majorHAnsi"/>
          <w:b/>
          <w:color w:val="000000" w:themeColor="text1"/>
          <w:sz w:val="28"/>
          <w:szCs w:val="28"/>
        </w:rPr>
      </w:pPr>
    </w:p>
    <w:p w14:paraId="76BDB5C1" w14:textId="77777777" w:rsidR="00837B76" w:rsidRPr="00701B11" w:rsidRDefault="00837B76" w:rsidP="00837B76">
      <w:pPr>
        <w:adjustRightInd w:val="0"/>
        <w:snapToGrid w:val="0"/>
        <w:spacing w:after="0" w:line="240" w:lineRule="auto"/>
        <w:jc w:val="center"/>
        <w:rPr>
          <w:rFonts w:asciiTheme="majorHAnsi" w:hAnsiTheme="majorHAnsi" w:cstheme="majorHAnsi"/>
          <w:b/>
          <w:color w:val="000000" w:themeColor="text1"/>
          <w:sz w:val="28"/>
          <w:szCs w:val="28"/>
        </w:rPr>
      </w:pPr>
    </w:p>
    <w:p w14:paraId="77FCFDA7" w14:textId="754F1AA2" w:rsidR="00DE4D59" w:rsidRPr="00701B11" w:rsidRDefault="00000000" w:rsidP="00837B76">
      <w:pPr>
        <w:adjustRightInd w:val="0"/>
        <w:snapToGrid w:val="0"/>
        <w:spacing w:after="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THÔNG TƯ</w:t>
      </w:r>
    </w:p>
    <w:p w14:paraId="3F9BF963" w14:textId="77777777" w:rsidR="00DE4D59" w:rsidRPr="00701B11" w:rsidRDefault="00000000" w:rsidP="00837B76">
      <w:pPr>
        <w:adjustRightInd w:val="0"/>
        <w:snapToGrid w:val="0"/>
        <w:spacing w:after="0" w:line="240" w:lineRule="auto"/>
        <w:jc w:val="center"/>
        <w:rPr>
          <w:rFonts w:asciiTheme="majorHAnsi" w:hAnsiTheme="majorHAnsi" w:cstheme="majorHAnsi"/>
          <w:b/>
          <w:color w:val="000000" w:themeColor="text1"/>
          <w:sz w:val="28"/>
          <w:szCs w:val="28"/>
        </w:rPr>
      </w:pPr>
      <w:r w:rsidRPr="00701B11">
        <w:rPr>
          <w:rFonts w:asciiTheme="majorHAnsi" w:hAnsiTheme="majorHAnsi" w:cstheme="majorHAnsi"/>
          <w:b/>
          <w:color w:val="000000" w:themeColor="text1"/>
          <w:sz w:val="28"/>
          <w:szCs w:val="28"/>
        </w:rPr>
        <w:t>Quy định mức thu, chế độ thu, nộp</w:t>
      </w:r>
      <w:r w:rsidRPr="00701B11">
        <w:rPr>
          <w:rFonts w:asciiTheme="majorHAnsi" w:hAnsiTheme="majorHAnsi" w:cstheme="majorHAnsi"/>
          <w:color w:val="000000" w:themeColor="text1"/>
          <w:sz w:val="28"/>
          <w:szCs w:val="28"/>
        </w:rPr>
        <w:br/>
      </w:r>
      <w:r w:rsidRPr="00701B11">
        <w:rPr>
          <w:rFonts w:asciiTheme="majorHAnsi" w:hAnsiTheme="majorHAnsi" w:cstheme="majorHAnsi"/>
          <w:b/>
          <w:color w:val="000000" w:themeColor="text1"/>
          <w:sz w:val="28"/>
          <w:szCs w:val="28"/>
        </w:rPr>
        <w:t xml:space="preserve"> phí thẩm định cấp giấy phép hoạt động điện lực</w:t>
      </w:r>
    </w:p>
    <w:p w14:paraId="05C4DBA0" w14:textId="77777777" w:rsidR="00837B76" w:rsidRPr="00701B11" w:rsidRDefault="00837B76" w:rsidP="00837B76">
      <w:pPr>
        <w:adjustRightInd w:val="0"/>
        <w:snapToGrid w:val="0"/>
        <w:spacing w:after="0" w:line="240" w:lineRule="auto"/>
        <w:jc w:val="center"/>
        <w:rPr>
          <w:rFonts w:asciiTheme="majorHAnsi" w:hAnsiTheme="majorHAnsi" w:cstheme="majorHAnsi"/>
          <w:color w:val="000000" w:themeColor="text1"/>
          <w:sz w:val="28"/>
          <w:szCs w:val="28"/>
        </w:rPr>
      </w:pPr>
    </w:p>
    <w:p w14:paraId="5DBB1F68"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i/>
          <w:color w:val="000000" w:themeColor="text1"/>
          <w:sz w:val="28"/>
          <w:szCs w:val="28"/>
        </w:rPr>
        <w:t>Căn cứ Luật Phí và lệ phí số 97/2015/QH13;</w:t>
      </w:r>
    </w:p>
    <w:p w14:paraId="6EB0CDD1" w14:textId="10CB9D29"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i/>
          <w:color w:val="000000" w:themeColor="text1"/>
          <w:sz w:val="28"/>
          <w:szCs w:val="28"/>
        </w:rPr>
        <w:t>Căn cứ Luật Ngân sách nhà nước số 89/2025/QH1</w:t>
      </w:r>
      <w:r w:rsidR="00851187" w:rsidRPr="00701B11">
        <w:rPr>
          <w:rFonts w:asciiTheme="majorHAnsi" w:hAnsiTheme="majorHAnsi" w:cstheme="majorHAnsi"/>
          <w:i/>
          <w:color w:val="000000" w:themeColor="text1"/>
          <w:sz w:val="28"/>
          <w:szCs w:val="28"/>
          <w:lang w:val="en-US"/>
        </w:rPr>
        <w:t>5</w:t>
      </w:r>
      <w:r w:rsidRPr="00701B11">
        <w:rPr>
          <w:rFonts w:asciiTheme="majorHAnsi" w:hAnsiTheme="majorHAnsi" w:cstheme="majorHAnsi"/>
          <w:i/>
          <w:color w:val="000000" w:themeColor="text1"/>
          <w:sz w:val="28"/>
          <w:szCs w:val="28"/>
        </w:rPr>
        <w:t>;</w:t>
      </w:r>
    </w:p>
    <w:p w14:paraId="0FD4C07E"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i/>
          <w:color w:val="000000" w:themeColor="text1"/>
          <w:sz w:val="28"/>
          <w:szCs w:val="28"/>
        </w:rPr>
        <w:t>Căn cứ Luật Quản lý thuế số 38/2019/QH14;</w:t>
      </w:r>
    </w:p>
    <w:p w14:paraId="6FE95519"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i/>
          <w:color w:val="000000" w:themeColor="text1"/>
          <w:sz w:val="28"/>
          <w:szCs w:val="28"/>
        </w:rPr>
        <w:t>Căn cứ Luật Điện lực số 61/2024/QH15;</w:t>
      </w:r>
    </w:p>
    <w:p w14:paraId="65728A2E"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i/>
          <w:color w:val="000000" w:themeColor="text1"/>
          <w:sz w:val="28"/>
          <w:szCs w:val="28"/>
        </w:rPr>
        <w:t>Căn cứ Nghị định số 362/2025/NĐ-CP của Chính phủ quy định chi tiết một số điều và biện pháp để tổ chức, hướng dẫn thi hành Luật Phí và lệ phí;</w:t>
      </w:r>
    </w:p>
    <w:p w14:paraId="762BE857"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i/>
          <w:color w:val="000000" w:themeColor="text1"/>
          <w:sz w:val="28"/>
          <w:szCs w:val="28"/>
        </w:rPr>
        <w:t>Căn cứ Nghị định số 126/2020/NĐ-CP của Chính phủ quy định chi tiết một số điều của Luật Quản lý thuế được sửa đổi, bổ sung bởi Nghị định số 91/2022/NĐ-CP và Nghị định số 373/2025/NĐ-CP;</w:t>
      </w:r>
    </w:p>
    <w:p w14:paraId="0D7D4573"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i/>
          <w:color w:val="000000" w:themeColor="text1"/>
          <w:sz w:val="28"/>
          <w:szCs w:val="28"/>
        </w:rPr>
        <w:t>Căn cứ Nghị định số 347/2025/NĐ-CP của Chính phủ quy định về thủ tục hành chính thuộc lĩnh vực Kho bạc Nhà nước;</w:t>
      </w:r>
    </w:p>
    <w:p w14:paraId="19DDF95D"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i/>
          <w:color w:val="000000" w:themeColor="text1"/>
          <w:sz w:val="28"/>
          <w:szCs w:val="28"/>
        </w:rPr>
        <w:t>Căn cứ Nghị định số 123/2020/NĐ-CP của Chính phủ quy định về hóa đơn, chứng từ được sửa đổi, bổ sung bởi Nghị định số 70/2025/NĐ-CP;</w:t>
      </w:r>
    </w:p>
    <w:p w14:paraId="73B41B2E"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i/>
          <w:color w:val="000000" w:themeColor="text1"/>
          <w:sz w:val="28"/>
          <w:szCs w:val="28"/>
        </w:rPr>
        <w:t>Căn cứ Nghị định số 61/2025/NĐ-CP của Chính phủ quy định chi tiết một số điều Luật Điện lực về giấy phép hoạt động điện lực;</w:t>
      </w:r>
    </w:p>
    <w:p w14:paraId="5F83AEF7"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i/>
          <w:color w:val="000000" w:themeColor="text1"/>
          <w:sz w:val="28"/>
          <w:szCs w:val="28"/>
        </w:rPr>
        <w:t>Căn cứ Nghị định số 146/2025/NĐ-CP của Chính phủ quy định về phân quyền, phân cấp trong lĩnh vực công nghiệp và thương mại;</w:t>
      </w:r>
    </w:p>
    <w:p w14:paraId="59DC324A"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i/>
          <w:color w:val="000000" w:themeColor="text1"/>
          <w:sz w:val="28"/>
          <w:szCs w:val="28"/>
        </w:rPr>
        <w:t>Căn cứ Nghị định số 29/2025/NĐ-CP của Chính phủ quy định chức năng, nhiệm vụ, quyền hạn và cơ cấu tổ chức của Bộ Tài chính được sửa đổi, bổ sung bởi Nghị định số 166/2025/NĐ-CP;</w:t>
      </w:r>
    </w:p>
    <w:p w14:paraId="6F8224AF"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i/>
          <w:color w:val="000000" w:themeColor="text1"/>
          <w:sz w:val="28"/>
          <w:szCs w:val="28"/>
        </w:rPr>
        <w:t>Theo đề nghị của Cục trưởng Cục Quản lý, giám sát chính sách thuế, phí và lệ phí;</w:t>
      </w:r>
    </w:p>
    <w:p w14:paraId="6EC64BAD" w14:textId="77777777" w:rsidR="00DE4D59" w:rsidRPr="00701B11" w:rsidRDefault="00000000" w:rsidP="00837B76">
      <w:pPr>
        <w:adjustRightInd w:val="0"/>
        <w:snapToGrid w:val="0"/>
        <w:spacing w:after="0" w:line="240" w:lineRule="auto"/>
        <w:ind w:firstLine="720"/>
        <w:jc w:val="both"/>
        <w:rPr>
          <w:rFonts w:asciiTheme="majorHAnsi" w:hAnsiTheme="majorHAnsi" w:cstheme="majorHAnsi"/>
          <w:i/>
          <w:color w:val="000000" w:themeColor="text1"/>
          <w:sz w:val="28"/>
          <w:szCs w:val="28"/>
        </w:rPr>
      </w:pPr>
      <w:r w:rsidRPr="00701B11">
        <w:rPr>
          <w:rFonts w:asciiTheme="majorHAnsi" w:hAnsiTheme="majorHAnsi" w:cstheme="majorHAnsi"/>
          <w:i/>
          <w:color w:val="000000" w:themeColor="text1"/>
          <w:sz w:val="28"/>
          <w:szCs w:val="28"/>
        </w:rPr>
        <w:t>Bộ trưởng Bộ Tài chính ban hành Thông tư quy định mức thu, chế độ thu, nộp phí thẩm định cấp giấy phép hoạt động điện lực.</w:t>
      </w:r>
    </w:p>
    <w:p w14:paraId="475B5E33" w14:textId="77777777" w:rsidR="00837B76" w:rsidRPr="00701B11" w:rsidRDefault="00837B76" w:rsidP="00837B76">
      <w:pPr>
        <w:adjustRightInd w:val="0"/>
        <w:snapToGrid w:val="0"/>
        <w:spacing w:after="0" w:line="240" w:lineRule="auto"/>
        <w:ind w:firstLine="720"/>
        <w:jc w:val="both"/>
        <w:rPr>
          <w:rFonts w:asciiTheme="majorHAnsi" w:hAnsiTheme="majorHAnsi" w:cstheme="majorHAnsi"/>
          <w:color w:val="000000" w:themeColor="text1"/>
          <w:sz w:val="28"/>
          <w:szCs w:val="28"/>
        </w:rPr>
      </w:pPr>
    </w:p>
    <w:p w14:paraId="485220A9"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Điều 1. Phạm vi điều chỉnh và đối tượng áp dụng</w:t>
      </w:r>
    </w:p>
    <w:p w14:paraId="11BBD421"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1. Thông tư này quy định người nộp phí, tổ chức thu phí, mức thu, chế độ thu, nộp phí thẩm định cấp giấy phép hoạt động điện lực (gồm cấp mới, cấp sửa đổi, bổ sung, cấp lại, cấp gia hạn giấy phép hoạt động điện lực).</w:t>
      </w:r>
    </w:p>
    <w:p w14:paraId="6DC5BC91"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2. Đối tượng áp dụng</w:t>
      </w:r>
    </w:p>
    <w:p w14:paraId="55E00AEC"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lastRenderedPageBreak/>
        <w:t>a) Tổ chức nộp hồ sơ đề nghị cấp giấy phép hoạt động điện lực;</w:t>
      </w:r>
    </w:p>
    <w:p w14:paraId="0F0FF081"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b) Tổ chức có thẩm quyền cấp giấy phép hoạt động điện lực;</w:t>
      </w:r>
    </w:p>
    <w:p w14:paraId="718A467F"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c) Tổ chức, cá nhân khác có liên quan đến khai, thu, nộp phí thẩm định cấp giấy phép hoạt động điện lực.</w:t>
      </w:r>
    </w:p>
    <w:p w14:paraId="60BF7AD5"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Điều 2. Người nộp phí</w:t>
      </w:r>
    </w:p>
    <w:p w14:paraId="2CD83198"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Tổ chức nộp hồ sơ đề nghị cấp giấy phép hoạt động điện lực là người nộp phí thẩm định cấp giấy phép hoạt động điện lực theo quy định tại Thông tư này.</w:t>
      </w:r>
    </w:p>
    <w:p w14:paraId="7CF3637D"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Điều 3. Tổ chức thu phí</w:t>
      </w:r>
    </w:p>
    <w:p w14:paraId="203CB95C"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Tổ chức thu phí thẩm định cấp giấy phép hoạt động điện lực là tổ chức có thẩm quyền cấp giấy phép hoạt động điện lực theo quy định của pháp luật về điện lực.</w:t>
      </w:r>
    </w:p>
    <w:p w14:paraId="549FB724"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Điều 4. Mức thu phí</w:t>
      </w:r>
    </w:p>
    <w:p w14:paraId="0E41CD2D"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1. Trường hợp cấp mới giấy phép hoạt động điện lực, áp dụng mức thu phí thẩm định cấp giấy phép hoạt động điện lực được quy định tại Biểu mức thu phí ban hành kèm theo Thông tư này.</w:t>
      </w:r>
    </w:p>
    <w:p w14:paraId="0D68FCCF"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2. Trường hợp cấp sửa đổi, bổ sung, cấp lại, cấp gia hạn giấy phép hoạt động điện lực, áp dụng mức thu phí bằng 50% mức thu phí quy định tại Biểu mức thu phí ban hành kèm theo Thông tư này.</w:t>
      </w:r>
    </w:p>
    <w:p w14:paraId="0FB7534A"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3. Đối với việc cấp giấy phép hoạt động điện lực trong lĩnh vực phân phối điện: trường hợp tổng chiều dài đường dây và tổng dung lượng trạm biến áp không nằm trong cùng một mức thu phí, áp dụng mức thu phí tương ứng với tổng chiều dài đường dây hoặc tổng dung lượng trạm biến áp có mức thu phí cao hơn.</w:t>
      </w:r>
    </w:p>
    <w:p w14:paraId="0702F94E" w14:textId="5EDF5D83"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4. Trường hợp hồ sơ đề nghị cấp giấy phép hoạt động điện lực có từ hai lĩnh vực hoạt động trở lên, mức thu phí thẩm định cấp giấy phép hoạt động điện lực  (P</w:t>
      </w:r>
      <w:r w:rsidR="00CE506D" w:rsidRPr="00701B11">
        <w:rPr>
          <w:rFonts w:asciiTheme="majorHAnsi" w:hAnsiTheme="majorHAnsi" w:cstheme="majorHAnsi"/>
          <w:color w:val="000000" w:themeColor="text1"/>
          <w:sz w:val="28"/>
          <w:szCs w:val="28"/>
          <w:vertAlign w:val="subscript"/>
        </w:rPr>
        <w:t>TĐ</w:t>
      </w:r>
      <w:r w:rsidRPr="00701B11">
        <w:rPr>
          <w:rFonts w:asciiTheme="majorHAnsi" w:hAnsiTheme="majorHAnsi" w:cstheme="majorHAnsi"/>
          <w:color w:val="000000" w:themeColor="text1"/>
          <w:sz w:val="28"/>
          <w:szCs w:val="28"/>
        </w:rPr>
        <w:t>) được tính như sau:</w:t>
      </w:r>
    </w:p>
    <w:p w14:paraId="1822DA63" w14:textId="4373AE48" w:rsidR="00DE4D59" w:rsidRPr="00701B11" w:rsidRDefault="00837B76" w:rsidP="00702F5B">
      <w:pPr>
        <w:adjustRightInd w:val="0"/>
        <w:snapToGrid w:val="0"/>
        <w:spacing w:after="12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noProof/>
          <w:sz w:val="32"/>
          <w:szCs w:val="32"/>
        </w:rPr>
        <w:drawing>
          <wp:inline distT="0" distB="0" distL="0" distR="0" wp14:anchorId="47F1D9EC" wp14:editId="346A9DA2">
            <wp:extent cx="1340746" cy="484070"/>
            <wp:effectExtent l="0" t="0" r="0" b="0"/>
            <wp:docPr id="1229753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753576" name=""/>
                    <pic:cNvPicPr/>
                  </pic:nvPicPr>
                  <pic:blipFill>
                    <a:blip r:embed="rId6"/>
                    <a:stretch>
                      <a:fillRect/>
                    </a:stretch>
                  </pic:blipFill>
                  <pic:spPr>
                    <a:xfrm>
                      <a:off x="0" y="0"/>
                      <a:ext cx="1366407" cy="493335"/>
                    </a:xfrm>
                    <a:prstGeom prst="rect">
                      <a:avLst/>
                    </a:prstGeom>
                  </pic:spPr>
                </pic:pic>
              </a:graphicData>
            </a:graphic>
          </wp:inline>
        </w:drawing>
      </w:r>
    </w:p>
    <w:p w14:paraId="0C20D286"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Trong đó:</w:t>
      </w:r>
    </w:p>
    <w:p w14:paraId="623907E3"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P</w:t>
      </w:r>
      <w:r w:rsidRPr="00701B11">
        <w:rPr>
          <w:rFonts w:asciiTheme="majorHAnsi" w:hAnsiTheme="majorHAnsi" w:cstheme="majorHAnsi"/>
          <w:color w:val="000000" w:themeColor="text1"/>
          <w:sz w:val="28"/>
          <w:szCs w:val="28"/>
          <w:vertAlign w:val="subscript"/>
        </w:rPr>
        <w:t>1</w:t>
      </w:r>
      <w:r w:rsidRPr="00701B11">
        <w:rPr>
          <w:rFonts w:asciiTheme="majorHAnsi" w:hAnsiTheme="majorHAnsi" w:cstheme="majorHAnsi"/>
          <w:color w:val="000000" w:themeColor="text1"/>
          <w:sz w:val="28"/>
          <w:szCs w:val="28"/>
        </w:rPr>
        <w:t xml:space="preserve"> là mức thu lớn nhất của một trong các lĩnh vực hoạt động theo đề nghị cấp giấy phép hoạt động điện lực được quy định tại Biểu mức thu phí ban hành kèm theo Thông tư này;</w:t>
      </w:r>
    </w:p>
    <w:p w14:paraId="40F08BEC"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P</w:t>
      </w:r>
      <w:r w:rsidRPr="00701B11">
        <w:rPr>
          <w:rFonts w:asciiTheme="majorHAnsi" w:hAnsiTheme="majorHAnsi" w:cstheme="majorHAnsi"/>
          <w:color w:val="000000" w:themeColor="text1"/>
          <w:sz w:val="28"/>
          <w:szCs w:val="28"/>
          <w:vertAlign w:val="subscript"/>
        </w:rPr>
        <w:t>i</w:t>
      </w:r>
      <w:r w:rsidRPr="00701B11">
        <w:rPr>
          <w:rFonts w:asciiTheme="majorHAnsi" w:hAnsiTheme="majorHAnsi" w:cstheme="majorHAnsi"/>
          <w:color w:val="000000" w:themeColor="text1"/>
          <w:sz w:val="28"/>
          <w:szCs w:val="28"/>
        </w:rPr>
        <w:t xml:space="preserve"> là mức thu của các lĩnh vực hoạt động còn lại theo đề nghị cấp giấy phép hoạt động điện lực;</w:t>
      </w:r>
    </w:p>
    <w:p w14:paraId="6734AB42"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n là tổng số lĩnh vực hoạt động đề nghị cấp giấy phép hoạt động điện lực;</w:t>
      </w:r>
    </w:p>
    <w:p w14:paraId="6A9AEA9A"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0,4 là hệ số điều chỉnh.</w:t>
      </w:r>
    </w:p>
    <w:p w14:paraId="5426F7CD"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 xml:space="preserve">5. Miễn phí thẩm định cấp giấy phép hoạt động điện lực đối với trường hợp cấp sửa đổi, bổ sung giấy phép hoạt động điện lực do thay đổi địa chỉ trụ sở chính </w:t>
      </w:r>
      <w:r w:rsidRPr="00701B11">
        <w:rPr>
          <w:rFonts w:asciiTheme="majorHAnsi" w:hAnsiTheme="majorHAnsi" w:cstheme="majorHAnsi"/>
          <w:color w:val="000000" w:themeColor="text1"/>
          <w:sz w:val="28"/>
          <w:szCs w:val="28"/>
        </w:rPr>
        <w:lastRenderedPageBreak/>
        <w:t>của tổ chức đã được cấp giấy phép hoạt động điện lực khi thực hiện sắp xếp, tổ chức lại đơn vị hành chính các cấp.</w:t>
      </w:r>
    </w:p>
    <w:p w14:paraId="75FD55DA"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Điều 5. Khai, thu, nộp phí</w:t>
      </w:r>
    </w:p>
    <w:p w14:paraId="12D378FF"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1. Người nộp phí thực hiện nộp tiền phí vào ngân sách nhà nước như sau:</w:t>
      </w:r>
    </w:p>
    <w:p w14:paraId="55D57839"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a) Nộp phí theo thời hạn quy định tại Nghị định số 61/2025/NĐ-CP ngày 04 tháng 3 năm 2025 của Chính phủ quy định chi tiết một số điều Luật Điện lực về giấy phép hoạt động điện lực;</w:t>
      </w:r>
    </w:p>
    <w:p w14:paraId="7971F546"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b) Nộp phí theo một trong các phương thức quy định tại khoản 1 Điều 3 Nghị định số 362/2025/NĐ-CP ngày 31 tháng 12 năm 2025 của Chính phủ quy định chi tiết một số điều và biện pháp để tổ chức, hướng dẫn thi hành Luật Phí và lệ phí.</w:t>
      </w:r>
    </w:p>
    <w:p w14:paraId="23DB8514"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2. Tổ chức thu phí nộp 100% số tiền phí thu được vào ngân sách nhà nước theo chương, tiểu mục của Mục lục ngân sách nhà nước hiện hành, bao gồm tiền lãi phát sinh (nếu có) trên số dư tài khoản liên quan trong quá trình thu phí. Nguồn chi phí để trang trải cho hoạt động cung cấp dịch vụ, thu phí được ngân sách nhà nước bố trí trong dự toán của tổ chức thu phí theo chế độ, định mức chi ngân sách nhà nước theo quy định của pháp luật.</w:t>
      </w:r>
    </w:p>
    <w:p w14:paraId="378D137A"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Tổ chức thu phí thực hiện khai, thu, nộp phí và quyết toán số tiền phí thu được theo quy định tại khoản 3 Điều 3 Nghị định số 362/2025/NĐ-CP.</w:t>
      </w:r>
    </w:p>
    <w:p w14:paraId="3A31068A"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Điều 6. Điều khoản thi hành</w:t>
      </w:r>
    </w:p>
    <w:p w14:paraId="05D4A019"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1. Thông tư này có hiệu lực thi hành từ ngày 11 tháng 5 năm 2026.</w:t>
      </w:r>
    </w:p>
    <w:p w14:paraId="490E88E4"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2. Thông tư số 106/2020/TT-BTC ngày 08 tháng 12 năm 2020 của Bộ trưởng Bộ Tài chính quy định mức thu, chế độ thu, nộp, quản lý và sử dụng phí thẩm định cấp giấy phép hoạt động điện lực hết hiệu lực thi hành kể từ ngày Thông tư này có hiệu lực thi hành.</w:t>
      </w:r>
    </w:p>
    <w:p w14:paraId="4DA67A4E"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3. Bãi bỏ số thứ tự 44 khoản 1 Điều 1 và Điều 2 Thông tư số 64/2025/TT-BTC ngày 30 tháng 6 năm 2025 của Bộ trưởng Bộ Tài chính quy định mức thu, miễn một số khoản phí, lệ phí nhằm hỗ trợ cho doanh nghiệp, người dân.</w:t>
      </w:r>
    </w:p>
    <w:p w14:paraId="06AED642"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 xml:space="preserve">4. Các nội dung khác liên quan đến việc khai, thu, nộp, công khai chế độ thu phí không quy định tại Thông tư này được thực hiện theo quy định tại các văn bản: Luật Phí và lệ phí số 97/2015/QH13; Luật Quản lý thuế số 38/2019/QH14; Nghị định số 362/2025/NĐ-CP; Nghị định số 126/2020/NĐ-CP ngày 19 tháng 10 năm 2020 của Chính phủ quy định chi tiết một số điều của Luật Quản lý thuế được sửa đổi, bổ sung bởi Nghị định số 91/2022/NĐ-CP và Nghị định số 373/2025/NĐ-CP; Nghị định số 347/2025/NĐ-CP ngày 29 tháng 12 năm 2025 của Chính phủ quy định về thủ tục hành chính thuộc lĩnh vực Kho bạc Nhà nước; Nghị định số 123/2020/NĐ-CP ngày 19 tháng 10 năm 2020 của Chính phủ quy định về hóa đơn, chứng từ được sửa đổi, bổ sung bởi Nghị định số 70/2025/NĐ-CP và Thông tư số 32/2025/TT-BTC ngày 31 tháng 5 năm 2025 của Bộ trưởng Bộ Tài chính hướng dẫn thực hiện một số điều của Luật Quản lý thuế ngày 13 tháng 6 năm 2019, Nghị định số 123/2020/NĐ-CP ngày 19 tháng 10 năm 2020 của Chính phủ </w:t>
      </w:r>
      <w:r w:rsidRPr="00701B11">
        <w:rPr>
          <w:rFonts w:asciiTheme="majorHAnsi" w:hAnsiTheme="majorHAnsi" w:cstheme="majorHAnsi"/>
          <w:color w:val="000000" w:themeColor="text1"/>
          <w:sz w:val="28"/>
          <w:szCs w:val="28"/>
        </w:rPr>
        <w:lastRenderedPageBreak/>
        <w:t>quy định về hóa đơn, chứng từ, Nghị định số 70/2025/NĐ-CP ngày 20 tháng 3 năm 2025 sửa đổi, bổ sung một số điều của Nghị định số 123/2020/NĐ-CP.</w:t>
      </w:r>
    </w:p>
    <w:p w14:paraId="7C5E663C" w14:textId="77777777" w:rsidR="00DE4D59" w:rsidRPr="00701B11" w:rsidRDefault="00000000"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5. Trường hợp các văn bản viện dẫn tại Thông tư này được sửa đổi, bổ sung hoặc thay thế thì thực hiện theo văn bản sửa đổi, bổ sung hoặc thay thế đó.</w:t>
      </w:r>
    </w:p>
    <w:p w14:paraId="4C84F7D8" w14:textId="0F6B5770" w:rsidR="00DE4D59" w:rsidRPr="00701B11" w:rsidRDefault="00000000" w:rsidP="00702F5B">
      <w:pPr>
        <w:adjustRightInd w:val="0"/>
        <w:snapToGrid w:val="0"/>
        <w:spacing w:after="0" w:line="240" w:lineRule="auto"/>
        <w:ind w:firstLine="720"/>
        <w:jc w:val="both"/>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6. Trong quá trình thực hiện, trường hợp có vướng mắc, đề nghị các tổ chức, cá nhân phản ánh kịp thời về Bộ Tài chính để nghiên cứu, hướng dẫn bổ sung.</w:t>
      </w:r>
      <w:r w:rsidR="00702F5B" w:rsidRPr="00701B11">
        <w:rPr>
          <w:rFonts w:asciiTheme="majorHAnsi" w:hAnsiTheme="majorHAnsi" w:cstheme="majorHAnsi"/>
          <w:color w:val="000000" w:themeColor="text1"/>
          <w:sz w:val="28"/>
          <w:szCs w:val="28"/>
        </w:rPr>
        <w:t>/.</w:t>
      </w:r>
    </w:p>
    <w:p w14:paraId="7795846A" w14:textId="77777777" w:rsidR="00837B76" w:rsidRPr="00701B11" w:rsidRDefault="00837B76" w:rsidP="00837B76">
      <w:pPr>
        <w:adjustRightInd w:val="0"/>
        <w:snapToGrid w:val="0"/>
        <w:spacing w:after="0" w:line="240" w:lineRule="auto"/>
        <w:rPr>
          <w:rFonts w:asciiTheme="majorHAnsi" w:hAnsiTheme="majorHAnsi" w:cstheme="majorHAnsi"/>
          <w:color w:val="000000" w:themeColor="text1"/>
          <w:sz w:val="28"/>
          <w:szCs w:val="28"/>
        </w:rPr>
      </w:pPr>
    </w:p>
    <w:tbl>
      <w:tblPr>
        <w:tblW w:w="5000" w:type="pct"/>
        <w:tblCellMar>
          <w:left w:w="10" w:type="dxa"/>
          <w:right w:w="10" w:type="dxa"/>
        </w:tblCellMar>
        <w:tblLook w:val="07E0" w:firstRow="1" w:lastRow="1" w:firstColumn="1" w:lastColumn="1" w:noHBand="1" w:noVBand="1"/>
      </w:tblPr>
      <w:tblGrid>
        <w:gridCol w:w="4534"/>
        <w:gridCol w:w="4535"/>
      </w:tblGrid>
      <w:tr w:rsidR="00DE4D59" w:rsidRPr="00701B11" w14:paraId="0F8304D7" w14:textId="77777777" w:rsidTr="00837B76">
        <w:tc>
          <w:tcPr>
            <w:tcW w:w="2500" w:type="pct"/>
          </w:tcPr>
          <w:p w14:paraId="2424F09D" w14:textId="13C91835" w:rsidR="00DE4D59" w:rsidRPr="00701B11" w:rsidRDefault="00000000" w:rsidP="00837B76">
            <w:pPr>
              <w:adjustRightInd w:val="0"/>
              <w:snapToGrid w:val="0"/>
              <w:spacing w:after="0" w:line="240" w:lineRule="auto"/>
              <w:rPr>
                <w:rFonts w:asciiTheme="majorHAnsi" w:hAnsiTheme="majorHAnsi" w:cstheme="majorHAnsi"/>
                <w:color w:val="000000" w:themeColor="text1"/>
                <w:sz w:val="22"/>
                <w:szCs w:val="22"/>
              </w:rPr>
            </w:pPr>
            <w:r w:rsidRPr="00701B11">
              <w:rPr>
                <w:rFonts w:asciiTheme="majorHAnsi" w:hAnsiTheme="majorHAnsi" w:cstheme="majorHAnsi"/>
                <w:b/>
                <w:i/>
                <w:color w:val="000000" w:themeColor="text1"/>
                <w:sz w:val="22"/>
                <w:szCs w:val="22"/>
              </w:rPr>
              <w:t>Nơi nhận:</w:t>
            </w:r>
            <w:r w:rsidR="00837B76" w:rsidRPr="00701B11">
              <w:rPr>
                <w:rFonts w:asciiTheme="majorHAnsi" w:hAnsiTheme="majorHAnsi" w:cstheme="majorHAnsi"/>
                <w:b/>
                <w:i/>
                <w:color w:val="000000" w:themeColor="text1"/>
                <w:sz w:val="22"/>
                <w:szCs w:val="22"/>
              </w:rPr>
              <w:br/>
            </w:r>
            <w:r w:rsidR="00837B76" w:rsidRPr="00701B11">
              <w:rPr>
                <w:rFonts w:asciiTheme="majorHAnsi" w:hAnsiTheme="majorHAnsi" w:cstheme="majorHAnsi"/>
                <w:color w:val="000000" w:themeColor="text1"/>
                <w:sz w:val="22"/>
                <w:szCs w:val="22"/>
              </w:rPr>
              <w:t>- Ban Bí thư Trung ương Đảng;</w:t>
            </w:r>
            <w:r w:rsidR="00837B76" w:rsidRPr="00701B11">
              <w:rPr>
                <w:rFonts w:asciiTheme="majorHAnsi" w:hAnsiTheme="majorHAnsi" w:cstheme="majorHAnsi"/>
                <w:color w:val="000000" w:themeColor="text1"/>
                <w:sz w:val="22"/>
                <w:szCs w:val="22"/>
              </w:rPr>
              <w:br/>
              <w:t>- Thủ tướng, các Phó Thủ tướng Chính phủ;</w:t>
            </w:r>
            <w:r w:rsidR="00837B76" w:rsidRPr="00701B11">
              <w:rPr>
                <w:rFonts w:asciiTheme="majorHAnsi" w:hAnsiTheme="majorHAnsi" w:cstheme="majorHAnsi"/>
                <w:color w:val="000000" w:themeColor="text1"/>
                <w:sz w:val="22"/>
                <w:szCs w:val="22"/>
              </w:rPr>
              <w:br/>
              <w:t>- Văn phòng Trung ương Đảng và các Ban của Đảng;</w:t>
            </w:r>
            <w:r w:rsidR="00837B76" w:rsidRPr="00701B11">
              <w:rPr>
                <w:rFonts w:asciiTheme="majorHAnsi" w:hAnsiTheme="majorHAnsi" w:cstheme="majorHAnsi"/>
                <w:color w:val="000000" w:themeColor="text1"/>
                <w:sz w:val="22"/>
                <w:szCs w:val="22"/>
              </w:rPr>
              <w:br/>
              <w:t>- Văn phòng Tổng Bí thư;</w:t>
            </w:r>
            <w:r w:rsidR="00837B76" w:rsidRPr="00701B11">
              <w:rPr>
                <w:rFonts w:asciiTheme="majorHAnsi" w:hAnsiTheme="majorHAnsi" w:cstheme="majorHAnsi"/>
                <w:color w:val="000000" w:themeColor="text1"/>
                <w:sz w:val="22"/>
                <w:szCs w:val="22"/>
              </w:rPr>
              <w:br/>
              <w:t>- Văn phòng Quốc hội;</w:t>
            </w:r>
            <w:r w:rsidR="00837B76" w:rsidRPr="00701B11">
              <w:rPr>
                <w:rFonts w:asciiTheme="majorHAnsi" w:hAnsiTheme="majorHAnsi" w:cstheme="majorHAnsi"/>
                <w:color w:val="000000" w:themeColor="text1"/>
                <w:sz w:val="22"/>
                <w:szCs w:val="22"/>
              </w:rPr>
              <w:br/>
              <w:t>- Hội đồng Dân tộc;</w:t>
            </w:r>
            <w:r w:rsidR="00837B76" w:rsidRPr="00701B11">
              <w:rPr>
                <w:rFonts w:asciiTheme="majorHAnsi" w:hAnsiTheme="majorHAnsi" w:cstheme="majorHAnsi"/>
                <w:color w:val="000000" w:themeColor="text1"/>
                <w:sz w:val="22"/>
                <w:szCs w:val="22"/>
              </w:rPr>
              <w:br/>
              <w:t>- Ủy ban Kinh tế và Tài chính;</w:t>
            </w:r>
            <w:r w:rsidR="00837B76" w:rsidRPr="00701B11">
              <w:rPr>
                <w:rFonts w:asciiTheme="majorHAnsi" w:hAnsiTheme="majorHAnsi" w:cstheme="majorHAnsi"/>
                <w:color w:val="000000" w:themeColor="text1"/>
                <w:sz w:val="22"/>
                <w:szCs w:val="22"/>
              </w:rPr>
              <w:br/>
              <w:t>- Văn phòng Chủ tịch nước;</w:t>
            </w:r>
            <w:r w:rsidR="00837B76" w:rsidRPr="00701B11">
              <w:rPr>
                <w:rFonts w:asciiTheme="majorHAnsi" w:hAnsiTheme="majorHAnsi" w:cstheme="majorHAnsi"/>
                <w:color w:val="000000" w:themeColor="text1"/>
                <w:sz w:val="22"/>
                <w:szCs w:val="22"/>
              </w:rPr>
              <w:br/>
              <w:t>- Viện kiểm sát nhân dân tối cao;</w:t>
            </w:r>
            <w:r w:rsidR="00837B76" w:rsidRPr="00701B11">
              <w:rPr>
                <w:rFonts w:asciiTheme="majorHAnsi" w:hAnsiTheme="majorHAnsi" w:cstheme="majorHAnsi"/>
                <w:color w:val="000000" w:themeColor="text1"/>
                <w:sz w:val="22"/>
                <w:szCs w:val="22"/>
              </w:rPr>
              <w:br/>
              <w:t>- Tòa án nhân dân tối cao;</w:t>
            </w:r>
            <w:r w:rsidR="00837B76" w:rsidRPr="00701B11">
              <w:rPr>
                <w:rFonts w:asciiTheme="majorHAnsi" w:hAnsiTheme="majorHAnsi" w:cstheme="majorHAnsi"/>
                <w:color w:val="000000" w:themeColor="text1"/>
                <w:sz w:val="22"/>
                <w:szCs w:val="22"/>
              </w:rPr>
              <w:br/>
              <w:t>- Kiểm toán nhà nước;</w:t>
            </w:r>
            <w:r w:rsidR="00837B76" w:rsidRPr="00701B11">
              <w:rPr>
                <w:rFonts w:asciiTheme="majorHAnsi" w:hAnsiTheme="majorHAnsi" w:cstheme="majorHAnsi"/>
                <w:color w:val="000000" w:themeColor="text1"/>
                <w:sz w:val="22"/>
                <w:szCs w:val="22"/>
              </w:rPr>
              <w:br/>
              <w:t>- Cơ quan trung ương của các đoàn thể;</w:t>
            </w:r>
            <w:r w:rsidR="00837B76" w:rsidRPr="00701B11">
              <w:rPr>
                <w:rFonts w:asciiTheme="majorHAnsi" w:hAnsiTheme="majorHAnsi" w:cstheme="majorHAnsi"/>
                <w:color w:val="000000" w:themeColor="text1"/>
                <w:sz w:val="22"/>
                <w:szCs w:val="22"/>
              </w:rPr>
              <w:br/>
              <w:t>- Các bộ, cơ quan ngang bộ, cơ quan thuộc Chính phủ;</w:t>
            </w:r>
            <w:r w:rsidR="00837B76" w:rsidRPr="00701B11">
              <w:rPr>
                <w:rFonts w:asciiTheme="majorHAnsi" w:hAnsiTheme="majorHAnsi" w:cstheme="majorHAnsi"/>
                <w:color w:val="000000" w:themeColor="text1"/>
                <w:sz w:val="22"/>
                <w:szCs w:val="22"/>
              </w:rPr>
              <w:br/>
              <w:t>- HĐND, UBND các tỉnh, thành phố trực thuộc trung ương;</w:t>
            </w:r>
            <w:r w:rsidR="00837B76" w:rsidRPr="00701B11">
              <w:rPr>
                <w:rFonts w:asciiTheme="majorHAnsi" w:hAnsiTheme="majorHAnsi" w:cstheme="majorHAnsi"/>
                <w:color w:val="000000" w:themeColor="text1"/>
                <w:sz w:val="22"/>
                <w:szCs w:val="22"/>
              </w:rPr>
              <w:br/>
              <w:t>- Thuế, Sở Tài chính các tỉnh, thành phố trực thuộc trung ương;</w:t>
            </w:r>
            <w:r w:rsidR="00837B76" w:rsidRPr="00701B11">
              <w:rPr>
                <w:rFonts w:asciiTheme="majorHAnsi" w:hAnsiTheme="majorHAnsi" w:cstheme="majorHAnsi"/>
                <w:color w:val="000000" w:themeColor="text1"/>
                <w:sz w:val="22"/>
                <w:szCs w:val="22"/>
              </w:rPr>
              <w:br/>
              <w:t>- Kho bạc Nhà nước các khu vực;</w:t>
            </w:r>
            <w:r w:rsidR="00837B76" w:rsidRPr="00701B11">
              <w:rPr>
                <w:rFonts w:asciiTheme="majorHAnsi" w:hAnsiTheme="majorHAnsi" w:cstheme="majorHAnsi"/>
                <w:color w:val="000000" w:themeColor="text1"/>
                <w:sz w:val="22"/>
                <w:szCs w:val="22"/>
              </w:rPr>
              <w:br/>
              <w:t>- Cục Kiểm tra văn bản và Tổ chức thi hành pháp luật, Bộ Tư pháp;</w:t>
            </w:r>
            <w:r w:rsidR="00837B76" w:rsidRPr="00701B11">
              <w:rPr>
                <w:rFonts w:asciiTheme="majorHAnsi" w:hAnsiTheme="majorHAnsi" w:cstheme="majorHAnsi"/>
                <w:color w:val="000000" w:themeColor="text1"/>
                <w:sz w:val="22"/>
                <w:szCs w:val="22"/>
              </w:rPr>
              <w:br/>
              <w:t>- Công báo;</w:t>
            </w:r>
            <w:r w:rsidR="00837B76" w:rsidRPr="00701B11">
              <w:rPr>
                <w:rFonts w:asciiTheme="majorHAnsi" w:hAnsiTheme="majorHAnsi" w:cstheme="majorHAnsi"/>
                <w:color w:val="000000" w:themeColor="text1"/>
                <w:sz w:val="22"/>
                <w:szCs w:val="22"/>
              </w:rPr>
              <w:br/>
              <w:t>- Cổng Thông tin điện tử Chính phủ;</w:t>
            </w:r>
            <w:r w:rsidR="00837B76" w:rsidRPr="00701B11">
              <w:rPr>
                <w:rFonts w:asciiTheme="majorHAnsi" w:hAnsiTheme="majorHAnsi" w:cstheme="majorHAnsi"/>
                <w:color w:val="000000" w:themeColor="text1"/>
                <w:sz w:val="22"/>
                <w:szCs w:val="22"/>
              </w:rPr>
              <w:br/>
              <w:t>- Cổng Thông tin điện tử Bộ Tài chính;</w:t>
            </w:r>
            <w:r w:rsidR="00837B76" w:rsidRPr="00701B11">
              <w:rPr>
                <w:rFonts w:asciiTheme="majorHAnsi" w:hAnsiTheme="majorHAnsi" w:cstheme="majorHAnsi"/>
                <w:color w:val="000000" w:themeColor="text1"/>
                <w:sz w:val="22"/>
                <w:szCs w:val="22"/>
              </w:rPr>
              <w:br/>
              <w:t>- Cơ sở dữ liệu quốc gia về pháp luật;</w:t>
            </w:r>
            <w:r w:rsidR="00837B76" w:rsidRPr="00701B11">
              <w:rPr>
                <w:rFonts w:asciiTheme="majorHAnsi" w:hAnsiTheme="majorHAnsi" w:cstheme="majorHAnsi"/>
                <w:color w:val="000000" w:themeColor="text1"/>
                <w:sz w:val="22"/>
                <w:szCs w:val="22"/>
              </w:rPr>
              <w:br/>
              <w:t xml:space="preserve">- Các đơn vị thuộc Bộ Tài chính; </w:t>
            </w:r>
            <w:r w:rsidR="00837B76" w:rsidRPr="00701B11">
              <w:rPr>
                <w:rFonts w:asciiTheme="majorHAnsi" w:hAnsiTheme="majorHAnsi" w:cstheme="majorHAnsi"/>
                <w:color w:val="000000" w:themeColor="text1"/>
                <w:sz w:val="22"/>
                <w:szCs w:val="22"/>
              </w:rPr>
              <w:br/>
              <w:t>- Lưu: VT, CST</w:t>
            </w:r>
            <w:r w:rsidR="00FC221B" w:rsidRPr="00701B11">
              <w:rPr>
                <w:rFonts w:asciiTheme="majorHAnsi" w:hAnsiTheme="majorHAnsi" w:cstheme="majorHAnsi"/>
                <w:color w:val="000000" w:themeColor="text1"/>
                <w:sz w:val="22"/>
                <w:szCs w:val="22"/>
              </w:rPr>
              <w:t xml:space="preserve"> </w:t>
            </w:r>
            <w:r w:rsidR="00837B76" w:rsidRPr="00701B11">
              <w:rPr>
                <w:rFonts w:asciiTheme="majorHAnsi" w:hAnsiTheme="majorHAnsi" w:cstheme="majorHAnsi"/>
                <w:color w:val="000000" w:themeColor="text1"/>
                <w:sz w:val="22"/>
                <w:szCs w:val="22"/>
              </w:rPr>
              <w:t>(170b).</w:t>
            </w:r>
          </w:p>
        </w:tc>
        <w:tc>
          <w:tcPr>
            <w:tcW w:w="2500" w:type="pct"/>
          </w:tcPr>
          <w:p w14:paraId="382F7407" w14:textId="77777777" w:rsidR="00DE4D59" w:rsidRPr="00701B11" w:rsidRDefault="00000000" w:rsidP="00837B76">
            <w:pPr>
              <w:adjustRightInd w:val="0"/>
              <w:snapToGrid w:val="0"/>
              <w:spacing w:after="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KT. BỘ TRƯỞNG</w:t>
            </w:r>
            <w:r w:rsidRPr="00701B11">
              <w:rPr>
                <w:rFonts w:asciiTheme="majorHAnsi" w:hAnsiTheme="majorHAnsi" w:cstheme="majorHAnsi"/>
                <w:color w:val="000000" w:themeColor="text1"/>
                <w:sz w:val="28"/>
                <w:szCs w:val="28"/>
              </w:rPr>
              <w:br/>
            </w:r>
            <w:r w:rsidRPr="00701B11">
              <w:rPr>
                <w:rFonts w:asciiTheme="majorHAnsi" w:hAnsiTheme="majorHAnsi" w:cstheme="majorHAnsi"/>
                <w:b/>
                <w:color w:val="000000" w:themeColor="text1"/>
                <w:sz w:val="28"/>
                <w:szCs w:val="28"/>
              </w:rPr>
              <w:t>THỨ TRƯỞNG</w:t>
            </w:r>
            <w:r w:rsidRPr="00701B11">
              <w:rPr>
                <w:rFonts w:asciiTheme="majorHAnsi" w:hAnsiTheme="majorHAnsi" w:cstheme="majorHAnsi"/>
                <w:color w:val="000000" w:themeColor="text1"/>
                <w:sz w:val="28"/>
                <w:szCs w:val="28"/>
              </w:rPr>
              <w:br/>
            </w:r>
            <w:r w:rsidRPr="00701B11">
              <w:rPr>
                <w:rFonts w:asciiTheme="majorHAnsi" w:hAnsiTheme="majorHAnsi" w:cstheme="majorHAnsi"/>
                <w:color w:val="000000" w:themeColor="text1"/>
                <w:sz w:val="28"/>
                <w:szCs w:val="28"/>
              </w:rPr>
              <w:br/>
            </w:r>
            <w:r w:rsidRPr="00701B11">
              <w:rPr>
                <w:rFonts w:asciiTheme="majorHAnsi" w:hAnsiTheme="majorHAnsi" w:cstheme="majorHAnsi"/>
                <w:color w:val="000000" w:themeColor="text1"/>
                <w:sz w:val="28"/>
                <w:szCs w:val="28"/>
              </w:rPr>
              <w:br/>
            </w:r>
            <w:r w:rsidRPr="00701B11">
              <w:rPr>
                <w:rFonts w:asciiTheme="majorHAnsi" w:hAnsiTheme="majorHAnsi" w:cstheme="majorHAnsi"/>
                <w:color w:val="000000" w:themeColor="text1"/>
                <w:sz w:val="28"/>
                <w:szCs w:val="28"/>
              </w:rPr>
              <w:br/>
            </w:r>
            <w:r w:rsidRPr="00701B11">
              <w:rPr>
                <w:rFonts w:asciiTheme="majorHAnsi" w:hAnsiTheme="majorHAnsi" w:cstheme="majorHAnsi"/>
                <w:color w:val="000000" w:themeColor="text1"/>
                <w:sz w:val="28"/>
                <w:szCs w:val="28"/>
              </w:rPr>
              <w:br/>
            </w:r>
            <w:r w:rsidRPr="00701B11">
              <w:rPr>
                <w:rFonts w:asciiTheme="majorHAnsi" w:hAnsiTheme="majorHAnsi" w:cstheme="majorHAnsi"/>
                <w:color w:val="000000" w:themeColor="text1"/>
                <w:sz w:val="28"/>
                <w:szCs w:val="28"/>
              </w:rPr>
              <w:br/>
            </w:r>
            <w:r w:rsidRPr="00701B11">
              <w:rPr>
                <w:rFonts w:asciiTheme="majorHAnsi" w:hAnsiTheme="majorHAnsi" w:cstheme="majorHAnsi"/>
                <w:color w:val="000000" w:themeColor="text1"/>
                <w:sz w:val="28"/>
                <w:szCs w:val="28"/>
              </w:rPr>
              <w:br/>
            </w:r>
            <w:r w:rsidRPr="00701B11">
              <w:rPr>
                <w:rFonts w:asciiTheme="majorHAnsi" w:hAnsiTheme="majorHAnsi" w:cstheme="majorHAnsi"/>
                <w:color w:val="000000" w:themeColor="text1"/>
                <w:sz w:val="28"/>
                <w:szCs w:val="28"/>
              </w:rPr>
              <w:br/>
            </w:r>
            <w:r w:rsidRPr="00701B11">
              <w:rPr>
                <w:rFonts w:asciiTheme="majorHAnsi" w:hAnsiTheme="majorHAnsi" w:cstheme="majorHAnsi"/>
                <w:b/>
                <w:color w:val="000000" w:themeColor="text1"/>
                <w:sz w:val="28"/>
                <w:szCs w:val="28"/>
              </w:rPr>
              <w:t>Cao Anh Tuấn</w:t>
            </w:r>
          </w:p>
        </w:tc>
      </w:tr>
    </w:tbl>
    <w:p w14:paraId="6624487B" w14:textId="49061DAF" w:rsidR="00DE4D59" w:rsidRPr="00701B11" w:rsidRDefault="00DE4D59" w:rsidP="00837B76">
      <w:pPr>
        <w:adjustRightInd w:val="0"/>
        <w:snapToGrid w:val="0"/>
        <w:spacing w:after="0" w:line="240" w:lineRule="auto"/>
        <w:rPr>
          <w:rFonts w:asciiTheme="majorHAnsi" w:hAnsiTheme="majorHAnsi" w:cstheme="majorHAnsi"/>
          <w:color w:val="000000" w:themeColor="text1"/>
          <w:sz w:val="28"/>
          <w:szCs w:val="28"/>
        </w:rPr>
      </w:pPr>
    </w:p>
    <w:p w14:paraId="480A982E" w14:textId="77777777" w:rsidR="00837B76" w:rsidRPr="00701B11" w:rsidRDefault="00837B76" w:rsidP="00837B76">
      <w:pPr>
        <w:adjustRightInd w:val="0"/>
        <w:snapToGrid w:val="0"/>
        <w:spacing w:after="0" w:line="240" w:lineRule="auto"/>
        <w:rPr>
          <w:rFonts w:asciiTheme="majorHAnsi" w:hAnsiTheme="majorHAnsi" w:cstheme="majorHAnsi"/>
          <w:color w:val="000000" w:themeColor="text1"/>
          <w:sz w:val="28"/>
          <w:szCs w:val="28"/>
        </w:rPr>
      </w:pPr>
    </w:p>
    <w:p w14:paraId="02B0690C" w14:textId="77777777" w:rsidR="00837B76" w:rsidRPr="00701B11" w:rsidRDefault="00837B76" w:rsidP="00837B76">
      <w:pPr>
        <w:adjustRightInd w:val="0"/>
        <w:snapToGrid w:val="0"/>
        <w:spacing w:after="120" w:line="240" w:lineRule="auto"/>
        <w:ind w:firstLine="720"/>
        <w:jc w:val="both"/>
        <w:rPr>
          <w:rFonts w:asciiTheme="majorHAnsi" w:hAnsiTheme="majorHAnsi" w:cstheme="majorHAnsi"/>
          <w:b/>
          <w:color w:val="000000" w:themeColor="text1"/>
          <w:sz w:val="28"/>
          <w:szCs w:val="28"/>
        </w:rPr>
        <w:sectPr w:rsidR="00837B76" w:rsidRPr="00701B11" w:rsidSect="00701B11">
          <w:pgSz w:w="11906" w:h="16838"/>
          <w:pgMar w:top="1138" w:right="1138" w:bottom="1138" w:left="1699" w:header="0" w:footer="0" w:gutter="0"/>
          <w:cols w:space="720"/>
          <w:docGrid w:linePitch="326"/>
        </w:sectPr>
      </w:pPr>
    </w:p>
    <w:p w14:paraId="18FD8EB9" w14:textId="77777777" w:rsidR="00DE4D59" w:rsidRPr="00701B11" w:rsidRDefault="00000000" w:rsidP="00837B76">
      <w:pPr>
        <w:adjustRightInd w:val="0"/>
        <w:snapToGrid w:val="0"/>
        <w:spacing w:after="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lastRenderedPageBreak/>
        <w:t>BIỂU MỨC THU PHÍ THẨM ĐỊNH CẤP GIẤY PHÉP</w:t>
      </w:r>
      <w:r w:rsidRPr="00701B11">
        <w:rPr>
          <w:rFonts w:asciiTheme="majorHAnsi" w:hAnsiTheme="majorHAnsi" w:cstheme="majorHAnsi"/>
          <w:color w:val="000000" w:themeColor="text1"/>
          <w:sz w:val="28"/>
          <w:szCs w:val="28"/>
        </w:rPr>
        <w:br/>
      </w:r>
      <w:r w:rsidRPr="00701B11">
        <w:rPr>
          <w:rFonts w:asciiTheme="majorHAnsi" w:hAnsiTheme="majorHAnsi" w:cstheme="majorHAnsi"/>
          <w:b/>
          <w:color w:val="000000" w:themeColor="text1"/>
          <w:sz w:val="28"/>
          <w:szCs w:val="28"/>
        </w:rPr>
        <w:t xml:space="preserve"> HOẠT ĐỘNG ĐIỆN LỰC</w:t>
      </w:r>
    </w:p>
    <w:p w14:paraId="3BB78606" w14:textId="483E2CD0" w:rsidR="00DE4D59" w:rsidRPr="00701B11" w:rsidRDefault="00000000" w:rsidP="00837B76">
      <w:pPr>
        <w:adjustRightInd w:val="0"/>
        <w:snapToGrid w:val="0"/>
        <w:spacing w:after="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i/>
          <w:color w:val="000000" w:themeColor="text1"/>
          <w:sz w:val="28"/>
          <w:szCs w:val="28"/>
        </w:rPr>
        <w:t>(Kèm theo Thông tư số 30/2026/TT-BTC</w:t>
      </w:r>
      <w:r w:rsidR="00837B76" w:rsidRPr="00701B11">
        <w:rPr>
          <w:rFonts w:asciiTheme="majorHAnsi" w:hAnsiTheme="majorHAnsi" w:cstheme="majorHAnsi"/>
          <w:i/>
          <w:color w:val="000000" w:themeColor="text1"/>
          <w:sz w:val="28"/>
          <w:szCs w:val="28"/>
        </w:rPr>
        <w:br/>
      </w:r>
      <w:r w:rsidRPr="00701B11">
        <w:rPr>
          <w:rFonts w:asciiTheme="majorHAnsi" w:hAnsiTheme="majorHAnsi" w:cstheme="majorHAnsi"/>
          <w:i/>
          <w:color w:val="000000" w:themeColor="text1"/>
          <w:sz w:val="28"/>
          <w:szCs w:val="28"/>
        </w:rPr>
        <w:t>Ngày 27 tháng 3 năm 2026 của Bộ trưởng Bộ Tài chính)</w:t>
      </w:r>
    </w:p>
    <w:p w14:paraId="0A9D5FF0" w14:textId="77777777" w:rsidR="00DE4D59" w:rsidRPr="00701B11" w:rsidRDefault="00DE4D59" w:rsidP="00837B76">
      <w:pPr>
        <w:adjustRightInd w:val="0"/>
        <w:snapToGrid w:val="0"/>
        <w:spacing w:after="0" w:line="240" w:lineRule="auto"/>
        <w:jc w:val="center"/>
        <w:rPr>
          <w:rFonts w:asciiTheme="majorHAnsi" w:hAnsiTheme="majorHAnsi" w:cstheme="majorHAnsi"/>
          <w:color w:val="000000" w:themeColor="text1"/>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707"/>
        <w:gridCol w:w="6659"/>
        <w:gridCol w:w="1650"/>
      </w:tblGrid>
      <w:tr w:rsidR="00DE4D59" w:rsidRPr="00701B11" w14:paraId="2F335939" w14:textId="77777777" w:rsidTr="0065542D">
        <w:trPr>
          <w:trHeight w:val="20"/>
        </w:trPr>
        <w:tc>
          <w:tcPr>
            <w:tcW w:w="392" w:type="pct"/>
            <w:vAlign w:val="center"/>
          </w:tcPr>
          <w:p w14:paraId="52761FCD" w14:textId="054AB955"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lang w:val="en-US"/>
              </w:rPr>
            </w:pPr>
            <w:r w:rsidRPr="00701B11">
              <w:rPr>
                <w:rFonts w:asciiTheme="majorHAnsi" w:hAnsiTheme="majorHAnsi" w:cstheme="majorHAnsi"/>
                <w:b/>
                <w:color w:val="000000" w:themeColor="text1"/>
                <w:sz w:val="28"/>
                <w:szCs w:val="28"/>
              </w:rPr>
              <w:t>S</w:t>
            </w:r>
            <w:r w:rsidR="00837B76" w:rsidRPr="00701B11">
              <w:rPr>
                <w:rFonts w:asciiTheme="majorHAnsi" w:hAnsiTheme="majorHAnsi" w:cstheme="majorHAnsi"/>
                <w:b/>
                <w:color w:val="000000" w:themeColor="text1"/>
                <w:sz w:val="28"/>
                <w:szCs w:val="28"/>
                <w:lang w:val="en-US"/>
              </w:rPr>
              <w:t>ố</w:t>
            </w:r>
          </w:p>
          <w:p w14:paraId="18AEDC5C"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TT</w:t>
            </w:r>
          </w:p>
        </w:tc>
        <w:tc>
          <w:tcPr>
            <w:tcW w:w="3693" w:type="pct"/>
            <w:vAlign w:val="center"/>
          </w:tcPr>
          <w:p w14:paraId="07486395"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Nội dung công việc thu phí</w:t>
            </w:r>
          </w:p>
        </w:tc>
        <w:tc>
          <w:tcPr>
            <w:tcW w:w="915" w:type="pct"/>
            <w:vAlign w:val="center"/>
          </w:tcPr>
          <w:p w14:paraId="7F20FA68"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Mức thu (đồng)</w:t>
            </w:r>
          </w:p>
        </w:tc>
      </w:tr>
      <w:tr w:rsidR="00DE4D59" w:rsidRPr="00701B11" w14:paraId="42F23F5C" w14:textId="77777777" w:rsidTr="00FC221B">
        <w:trPr>
          <w:trHeight w:val="20"/>
        </w:trPr>
        <w:tc>
          <w:tcPr>
            <w:tcW w:w="392" w:type="pct"/>
            <w:vAlign w:val="center"/>
          </w:tcPr>
          <w:p w14:paraId="5FF2B9D8"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A</w:t>
            </w:r>
          </w:p>
        </w:tc>
        <w:tc>
          <w:tcPr>
            <w:tcW w:w="4608" w:type="pct"/>
            <w:gridSpan w:val="2"/>
            <w:vAlign w:val="center"/>
          </w:tcPr>
          <w:p w14:paraId="7DD08103" w14:textId="77777777" w:rsidR="00DE4D59" w:rsidRPr="00701B11" w:rsidRDefault="00000000" w:rsidP="00837B76">
            <w:pPr>
              <w:adjustRightInd w:val="0"/>
              <w:snapToGrid w:val="0"/>
              <w:spacing w:before="40" w:after="40" w:line="240" w:lineRule="auto"/>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Thẩm định cấp giấy phép hoạt động điện lực do Bộ Công Thương phân cấp cho Cục Điện lực thực hiện</w:t>
            </w:r>
          </w:p>
        </w:tc>
      </w:tr>
      <w:tr w:rsidR="00DE4D59" w:rsidRPr="00701B11" w14:paraId="26A437BD" w14:textId="77777777" w:rsidTr="0065542D">
        <w:trPr>
          <w:trHeight w:val="20"/>
        </w:trPr>
        <w:tc>
          <w:tcPr>
            <w:tcW w:w="392" w:type="pct"/>
            <w:vAlign w:val="center"/>
          </w:tcPr>
          <w:p w14:paraId="62757C38"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I</w:t>
            </w:r>
          </w:p>
        </w:tc>
        <w:tc>
          <w:tcPr>
            <w:tcW w:w="3693" w:type="pct"/>
            <w:vAlign w:val="center"/>
          </w:tcPr>
          <w:p w14:paraId="502B5B57" w14:textId="6F158124" w:rsidR="00DE4D59" w:rsidRPr="00701B11" w:rsidRDefault="00000000" w:rsidP="00837B76">
            <w:pPr>
              <w:adjustRightInd w:val="0"/>
              <w:snapToGrid w:val="0"/>
              <w:spacing w:before="40" w:after="40" w:line="240" w:lineRule="auto"/>
              <w:rPr>
                <w:rFonts w:asciiTheme="majorHAnsi" w:hAnsiTheme="majorHAnsi" w:cstheme="majorHAnsi"/>
                <w:color w:val="000000" w:themeColor="text1"/>
                <w:sz w:val="28"/>
                <w:szCs w:val="28"/>
                <w:lang w:val="en-US"/>
              </w:rPr>
            </w:pPr>
            <w:r w:rsidRPr="00701B11">
              <w:rPr>
                <w:rFonts w:asciiTheme="majorHAnsi" w:hAnsiTheme="majorHAnsi" w:cstheme="majorHAnsi"/>
                <w:b/>
                <w:color w:val="000000" w:themeColor="text1"/>
                <w:sz w:val="28"/>
                <w:szCs w:val="28"/>
              </w:rPr>
              <w:t>Lĩnh vực phát</w:t>
            </w:r>
            <w:r w:rsidR="00837B76" w:rsidRPr="00701B11">
              <w:rPr>
                <w:rFonts w:asciiTheme="majorHAnsi" w:hAnsiTheme="majorHAnsi" w:cstheme="majorHAnsi"/>
                <w:b/>
                <w:color w:val="000000" w:themeColor="text1"/>
                <w:sz w:val="28"/>
                <w:szCs w:val="28"/>
                <w:lang w:val="en-US"/>
              </w:rPr>
              <w:t xml:space="preserve"> </w:t>
            </w:r>
            <w:proofErr w:type="spellStart"/>
            <w:r w:rsidR="00837B76" w:rsidRPr="00701B11">
              <w:rPr>
                <w:rFonts w:asciiTheme="majorHAnsi" w:hAnsiTheme="majorHAnsi" w:cstheme="majorHAnsi"/>
                <w:b/>
                <w:color w:val="000000" w:themeColor="text1"/>
                <w:sz w:val="28"/>
                <w:szCs w:val="28"/>
                <w:lang w:val="en-US"/>
              </w:rPr>
              <w:t>điện</w:t>
            </w:r>
            <w:proofErr w:type="spellEnd"/>
          </w:p>
        </w:tc>
        <w:tc>
          <w:tcPr>
            <w:tcW w:w="915" w:type="pct"/>
            <w:vAlign w:val="center"/>
          </w:tcPr>
          <w:p w14:paraId="2A5C0122" w14:textId="77777777" w:rsidR="00DE4D59" w:rsidRPr="00701B11" w:rsidRDefault="00DE4D59" w:rsidP="00837B76">
            <w:pPr>
              <w:adjustRightInd w:val="0"/>
              <w:snapToGrid w:val="0"/>
              <w:spacing w:before="40" w:after="40" w:line="240" w:lineRule="auto"/>
              <w:jc w:val="center"/>
              <w:rPr>
                <w:rFonts w:asciiTheme="majorHAnsi" w:hAnsiTheme="majorHAnsi" w:cstheme="majorHAnsi"/>
                <w:color w:val="000000" w:themeColor="text1"/>
                <w:sz w:val="28"/>
                <w:szCs w:val="28"/>
              </w:rPr>
            </w:pPr>
          </w:p>
        </w:tc>
      </w:tr>
      <w:tr w:rsidR="00DE4D59" w:rsidRPr="00701B11" w14:paraId="444E5A35" w14:textId="77777777" w:rsidTr="0065542D">
        <w:trPr>
          <w:trHeight w:val="20"/>
        </w:trPr>
        <w:tc>
          <w:tcPr>
            <w:tcW w:w="392" w:type="pct"/>
            <w:vAlign w:val="center"/>
          </w:tcPr>
          <w:p w14:paraId="04FB24F5"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1</w:t>
            </w:r>
          </w:p>
        </w:tc>
        <w:tc>
          <w:tcPr>
            <w:tcW w:w="3693" w:type="pct"/>
            <w:vAlign w:val="center"/>
          </w:tcPr>
          <w:p w14:paraId="31C56F92" w14:textId="77777777" w:rsidR="00DE4D59" w:rsidRPr="00701B11" w:rsidRDefault="00000000" w:rsidP="00837B76">
            <w:pPr>
              <w:adjustRightInd w:val="0"/>
              <w:snapToGrid w:val="0"/>
              <w:spacing w:before="40" w:after="40" w:line="240" w:lineRule="auto"/>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Công trình nhà máy thủy điện, nhà máy điện gió, nhà máy điện mặt trời, nhà máy điện năng lượng mới, nhà máy điện năng lượng tái tạo khác và loại hình phát điện khác, trừ các công việc thu phí quy định tại điểm 2 mục I này</w:t>
            </w:r>
          </w:p>
        </w:tc>
        <w:tc>
          <w:tcPr>
            <w:tcW w:w="915" w:type="pct"/>
            <w:vAlign w:val="center"/>
          </w:tcPr>
          <w:p w14:paraId="7E560016" w14:textId="77777777" w:rsidR="00DE4D59" w:rsidRPr="00701B11" w:rsidRDefault="00DE4D59" w:rsidP="00837B76">
            <w:pPr>
              <w:adjustRightInd w:val="0"/>
              <w:snapToGrid w:val="0"/>
              <w:spacing w:before="40" w:after="40" w:line="240" w:lineRule="auto"/>
              <w:jc w:val="center"/>
              <w:rPr>
                <w:rFonts w:asciiTheme="majorHAnsi" w:hAnsiTheme="majorHAnsi" w:cstheme="majorHAnsi"/>
                <w:color w:val="000000" w:themeColor="text1"/>
                <w:sz w:val="28"/>
                <w:szCs w:val="28"/>
              </w:rPr>
            </w:pPr>
          </w:p>
        </w:tc>
      </w:tr>
      <w:tr w:rsidR="00DE4D59" w:rsidRPr="00701B11" w14:paraId="123E93EE" w14:textId="77777777" w:rsidTr="0065542D">
        <w:trPr>
          <w:trHeight w:val="20"/>
        </w:trPr>
        <w:tc>
          <w:tcPr>
            <w:tcW w:w="392" w:type="pct"/>
            <w:vAlign w:val="center"/>
          </w:tcPr>
          <w:p w14:paraId="0CE773CE"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1.1</w:t>
            </w:r>
          </w:p>
        </w:tc>
        <w:tc>
          <w:tcPr>
            <w:tcW w:w="3693" w:type="pct"/>
            <w:vAlign w:val="center"/>
          </w:tcPr>
          <w:p w14:paraId="2652636E" w14:textId="77777777" w:rsidR="00DE4D59" w:rsidRPr="00701B11" w:rsidRDefault="00000000" w:rsidP="00837B76">
            <w:pPr>
              <w:adjustRightInd w:val="0"/>
              <w:snapToGrid w:val="0"/>
              <w:spacing w:before="40" w:after="40" w:line="240" w:lineRule="auto"/>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Công suất đặt dưới 10 MW</w:t>
            </w:r>
          </w:p>
        </w:tc>
        <w:tc>
          <w:tcPr>
            <w:tcW w:w="915" w:type="pct"/>
            <w:vAlign w:val="center"/>
          </w:tcPr>
          <w:p w14:paraId="41BD3247"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10.600.000</w:t>
            </w:r>
          </w:p>
        </w:tc>
      </w:tr>
      <w:tr w:rsidR="00DE4D59" w:rsidRPr="00701B11" w14:paraId="60F015E8" w14:textId="77777777" w:rsidTr="0065542D">
        <w:trPr>
          <w:trHeight w:val="20"/>
        </w:trPr>
        <w:tc>
          <w:tcPr>
            <w:tcW w:w="392" w:type="pct"/>
            <w:vAlign w:val="center"/>
          </w:tcPr>
          <w:p w14:paraId="05BDC58A"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1.2</w:t>
            </w:r>
          </w:p>
        </w:tc>
        <w:tc>
          <w:tcPr>
            <w:tcW w:w="3693" w:type="pct"/>
            <w:vAlign w:val="center"/>
          </w:tcPr>
          <w:p w14:paraId="5C4FFBD3" w14:textId="77777777" w:rsidR="00DE4D59" w:rsidRPr="00701B11" w:rsidRDefault="00000000" w:rsidP="00837B76">
            <w:pPr>
              <w:adjustRightInd w:val="0"/>
              <w:snapToGrid w:val="0"/>
              <w:spacing w:before="40" w:after="40" w:line="240" w:lineRule="auto"/>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Công suất đặt từ 10 MW đến dưới 30 MW</w:t>
            </w:r>
          </w:p>
        </w:tc>
        <w:tc>
          <w:tcPr>
            <w:tcW w:w="915" w:type="pct"/>
            <w:vAlign w:val="center"/>
          </w:tcPr>
          <w:p w14:paraId="037CAC71"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15.000.000</w:t>
            </w:r>
          </w:p>
        </w:tc>
      </w:tr>
      <w:tr w:rsidR="00DE4D59" w:rsidRPr="00701B11" w14:paraId="22CA8C39" w14:textId="77777777" w:rsidTr="0065542D">
        <w:trPr>
          <w:trHeight w:val="20"/>
        </w:trPr>
        <w:tc>
          <w:tcPr>
            <w:tcW w:w="392" w:type="pct"/>
            <w:vAlign w:val="center"/>
          </w:tcPr>
          <w:p w14:paraId="75856196"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1.3</w:t>
            </w:r>
          </w:p>
        </w:tc>
        <w:tc>
          <w:tcPr>
            <w:tcW w:w="3693" w:type="pct"/>
            <w:vAlign w:val="center"/>
          </w:tcPr>
          <w:p w14:paraId="18FD9E72" w14:textId="77777777" w:rsidR="00DE4D59" w:rsidRPr="00701B11" w:rsidRDefault="00000000" w:rsidP="00837B76">
            <w:pPr>
              <w:adjustRightInd w:val="0"/>
              <w:snapToGrid w:val="0"/>
              <w:spacing w:before="40" w:after="40" w:line="240" w:lineRule="auto"/>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Công suất đặt từ 30 MW đến dưới 100 MW</w:t>
            </w:r>
          </w:p>
        </w:tc>
        <w:tc>
          <w:tcPr>
            <w:tcW w:w="915" w:type="pct"/>
            <w:vAlign w:val="center"/>
          </w:tcPr>
          <w:p w14:paraId="54B44511"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18.000.000</w:t>
            </w:r>
          </w:p>
        </w:tc>
      </w:tr>
      <w:tr w:rsidR="00DE4D59" w:rsidRPr="00701B11" w14:paraId="13D02A64" w14:textId="77777777" w:rsidTr="0065542D">
        <w:trPr>
          <w:trHeight w:val="20"/>
        </w:trPr>
        <w:tc>
          <w:tcPr>
            <w:tcW w:w="392" w:type="pct"/>
            <w:vAlign w:val="center"/>
          </w:tcPr>
          <w:p w14:paraId="4F722186"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1.4</w:t>
            </w:r>
          </w:p>
        </w:tc>
        <w:tc>
          <w:tcPr>
            <w:tcW w:w="3693" w:type="pct"/>
            <w:vAlign w:val="center"/>
          </w:tcPr>
          <w:p w14:paraId="687D0212" w14:textId="77777777" w:rsidR="00DE4D59" w:rsidRPr="00701B11" w:rsidRDefault="00000000" w:rsidP="00837B76">
            <w:pPr>
              <w:adjustRightInd w:val="0"/>
              <w:snapToGrid w:val="0"/>
              <w:spacing w:before="40" w:after="40" w:line="240" w:lineRule="auto"/>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Công suất đặt từ 100 MW đến dưới 300 MW</w:t>
            </w:r>
          </w:p>
        </w:tc>
        <w:tc>
          <w:tcPr>
            <w:tcW w:w="915" w:type="pct"/>
            <w:vAlign w:val="center"/>
          </w:tcPr>
          <w:p w14:paraId="1EC55810"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24.500.000</w:t>
            </w:r>
          </w:p>
        </w:tc>
      </w:tr>
      <w:tr w:rsidR="00DE4D59" w:rsidRPr="00701B11" w14:paraId="6EE106B9" w14:textId="77777777" w:rsidTr="0065542D">
        <w:trPr>
          <w:trHeight w:val="20"/>
        </w:trPr>
        <w:tc>
          <w:tcPr>
            <w:tcW w:w="392" w:type="pct"/>
            <w:vAlign w:val="center"/>
          </w:tcPr>
          <w:p w14:paraId="33F70A3B"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1.5</w:t>
            </w:r>
          </w:p>
        </w:tc>
        <w:tc>
          <w:tcPr>
            <w:tcW w:w="3693" w:type="pct"/>
            <w:vAlign w:val="center"/>
          </w:tcPr>
          <w:p w14:paraId="27505359" w14:textId="77777777" w:rsidR="00DE4D59" w:rsidRPr="00701B11" w:rsidRDefault="00000000" w:rsidP="00837B76">
            <w:pPr>
              <w:adjustRightInd w:val="0"/>
              <w:snapToGrid w:val="0"/>
              <w:spacing w:before="40" w:after="40" w:line="240" w:lineRule="auto"/>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Công suất đặt từ 300 MW trở lên</w:t>
            </w:r>
          </w:p>
        </w:tc>
        <w:tc>
          <w:tcPr>
            <w:tcW w:w="915" w:type="pct"/>
            <w:vAlign w:val="center"/>
          </w:tcPr>
          <w:p w14:paraId="4F9A55F9"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28.800.000</w:t>
            </w:r>
          </w:p>
        </w:tc>
      </w:tr>
      <w:tr w:rsidR="00DE4D59" w:rsidRPr="00701B11" w14:paraId="3B0D3421" w14:textId="77777777" w:rsidTr="0065542D">
        <w:trPr>
          <w:trHeight w:val="20"/>
        </w:trPr>
        <w:tc>
          <w:tcPr>
            <w:tcW w:w="392" w:type="pct"/>
            <w:vAlign w:val="center"/>
          </w:tcPr>
          <w:p w14:paraId="49CBDC2B"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1</w:t>
            </w:r>
          </w:p>
        </w:tc>
        <w:tc>
          <w:tcPr>
            <w:tcW w:w="3693" w:type="pct"/>
            <w:vAlign w:val="center"/>
          </w:tcPr>
          <w:p w14:paraId="2CCA4C4B" w14:textId="77777777" w:rsidR="00DE4D59" w:rsidRPr="00701B11" w:rsidRDefault="00000000" w:rsidP="00837B76">
            <w:pPr>
              <w:adjustRightInd w:val="0"/>
              <w:snapToGrid w:val="0"/>
              <w:spacing w:before="40" w:after="40" w:line="240" w:lineRule="auto"/>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Công trình nhà máy nhiệt điện (than, khí, dầu, sinh khối, chất thải rắn)</w:t>
            </w:r>
          </w:p>
        </w:tc>
        <w:tc>
          <w:tcPr>
            <w:tcW w:w="915" w:type="pct"/>
            <w:vAlign w:val="center"/>
          </w:tcPr>
          <w:p w14:paraId="67DD9796" w14:textId="77777777" w:rsidR="00DE4D59" w:rsidRPr="00701B11" w:rsidRDefault="00DE4D59" w:rsidP="00837B76">
            <w:pPr>
              <w:adjustRightInd w:val="0"/>
              <w:snapToGrid w:val="0"/>
              <w:spacing w:before="40" w:after="40" w:line="240" w:lineRule="auto"/>
              <w:jc w:val="center"/>
              <w:rPr>
                <w:rFonts w:asciiTheme="majorHAnsi" w:hAnsiTheme="majorHAnsi" w:cstheme="majorHAnsi"/>
                <w:color w:val="000000" w:themeColor="text1"/>
                <w:sz w:val="28"/>
                <w:szCs w:val="28"/>
              </w:rPr>
            </w:pPr>
          </w:p>
        </w:tc>
      </w:tr>
      <w:tr w:rsidR="00DE4D59" w:rsidRPr="00701B11" w14:paraId="5978FDB5" w14:textId="77777777" w:rsidTr="0065542D">
        <w:trPr>
          <w:trHeight w:val="20"/>
        </w:trPr>
        <w:tc>
          <w:tcPr>
            <w:tcW w:w="392" w:type="pct"/>
            <w:vAlign w:val="center"/>
          </w:tcPr>
          <w:p w14:paraId="04959947"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2.1</w:t>
            </w:r>
          </w:p>
        </w:tc>
        <w:tc>
          <w:tcPr>
            <w:tcW w:w="3693" w:type="pct"/>
            <w:vAlign w:val="center"/>
          </w:tcPr>
          <w:p w14:paraId="7A25F09C" w14:textId="77777777" w:rsidR="00DE4D59" w:rsidRPr="00701B11" w:rsidRDefault="00000000" w:rsidP="00837B76">
            <w:pPr>
              <w:adjustRightInd w:val="0"/>
              <w:snapToGrid w:val="0"/>
              <w:spacing w:before="40" w:after="40" w:line="240" w:lineRule="auto"/>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Công suất đặt dưới 50 MW</w:t>
            </w:r>
          </w:p>
        </w:tc>
        <w:tc>
          <w:tcPr>
            <w:tcW w:w="915" w:type="pct"/>
            <w:vAlign w:val="center"/>
          </w:tcPr>
          <w:p w14:paraId="1C8C9D3D"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17.800.000</w:t>
            </w:r>
          </w:p>
        </w:tc>
      </w:tr>
      <w:tr w:rsidR="00DE4D59" w:rsidRPr="00701B11" w14:paraId="080BB3F2" w14:textId="77777777" w:rsidTr="0065542D">
        <w:trPr>
          <w:trHeight w:val="20"/>
        </w:trPr>
        <w:tc>
          <w:tcPr>
            <w:tcW w:w="392" w:type="pct"/>
            <w:vAlign w:val="center"/>
          </w:tcPr>
          <w:p w14:paraId="11A9ECB6"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2.2</w:t>
            </w:r>
          </w:p>
        </w:tc>
        <w:tc>
          <w:tcPr>
            <w:tcW w:w="3693" w:type="pct"/>
            <w:vAlign w:val="center"/>
          </w:tcPr>
          <w:p w14:paraId="3EEAC16F" w14:textId="77777777" w:rsidR="00DE4D59" w:rsidRPr="00701B11" w:rsidRDefault="00000000" w:rsidP="00837B76">
            <w:pPr>
              <w:adjustRightInd w:val="0"/>
              <w:snapToGrid w:val="0"/>
              <w:spacing w:before="40" w:after="40" w:line="240" w:lineRule="auto"/>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Công suất đặt từ 50 MW đến dưới 100 MW</w:t>
            </w:r>
          </w:p>
        </w:tc>
        <w:tc>
          <w:tcPr>
            <w:tcW w:w="915" w:type="pct"/>
            <w:vAlign w:val="center"/>
          </w:tcPr>
          <w:p w14:paraId="4F0B8575"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21.900.000</w:t>
            </w:r>
          </w:p>
        </w:tc>
      </w:tr>
      <w:tr w:rsidR="00DE4D59" w:rsidRPr="00701B11" w14:paraId="7310DC7E" w14:textId="77777777" w:rsidTr="0065542D">
        <w:trPr>
          <w:trHeight w:val="20"/>
        </w:trPr>
        <w:tc>
          <w:tcPr>
            <w:tcW w:w="392" w:type="pct"/>
            <w:vAlign w:val="center"/>
          </w:tcPr>
          <w:p w14:paraId="4403079B"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2.3</w:t>
            </w:r>
          </w:p>
        </w:tc>
        <w:tc>
          <w:tcPr>
            <w:tcW w:w="3693" w:type="pct"/>
            <w:vAlign w:val="center"/>
          </w:tcPr>
          <w:p w14:paraId="4347A418" w14:textId="77777777" w:rsidR="00DE4D59" w:rsidRPr="00701B11" w:rsidRDefault="00000000" w:rsidP="00837B76">
            <w:pPr>
              <w:adjustRightInd w:val="0"/>
              <w:snapToGrid w:val="0"/>
              <w:spacing w:before="40" w:after="40" w:line="240" w:lineRule="auto"/>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Công suất đặt từ 100 MW trở lên</w:t>
            </w:r>
          </w:p>
        </w:tc>
        <w:tc>
          <w:tcPr>
            <w:tcW w:w="915" w:type="pct"/>
            <w:vAlign w:val="center"/>
          </w:tcPr>
          <w:p w14:paraId="2E6EFDF1"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28.800.000</w:t>
            </w:r>
          </w:p>
        </w:tc>
      </w:tr>
      <w:tr w:rsidR="00DE4D59" w:rsidRPr="00701B11" w14:paraId="7DC4D0EE" w14:textId="77777777" w:rsidTr="0065542D">
        <w:trPr>
          <w:trHeight w:val="20"/>
        </w:trPr>
        <w:tc>
          <w:tcPr>
            <w:tcW w:w="392" w:type="pct"/>
            <w:vAlign w:val="center"/>
          </w:tcPr>
          <w:p w14:paraId="68E7B4B9"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II</w:t>
            </w:r>
          </w:p>
        </w:tc>
        <w:tc>
          <w:tcPr>
            <w:tcW w:w="3693" w:type="pct"/>
            <w:vAlign w:val="center"/>
          </w:tcPr>
          <w:p w14:paraId="1C0D0D3A" w14:textId="77777777" w:rsidR="00DE4D59" w:rsidRPr="00701B11" w:rsidRDefault="00000000" w:rsidP="00837B76">
            <w:pPr>
              <w:adjustRightInd w:val="0"/>
              <w:snapToGrid w:val="0"/>
              <w:spacing w:before="40" w:after="40" w:line="240" w:lineRule="auto"/>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Lĩnh vực truyền tải điện</w:t>
            </w:r>
          </w:p>
        </w:tc>
        <w:tc>
          <w:tcPr>
            <w:tcW w:w="915" w:type="pct"/>
            <w:vAlign w:val="center"/>
          </w:tcPr>
          <w:p w14:paraId="3BC132C0"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24.900.000</w:t>
            </w:r>
          </w:p>
        </w:tc>
      </w:tr>
      <w:tr w:rsidR="00DE4D59" w:rsidRPr="00701B11" w14:paraId="2B0B2D37" w14:textId="77777777" w:rsidTr="0065542D">
        <w:trPr>
          <w:trHeight w:val="20"/>
        </w:trPr>
        <w:tc>
          <w:tcPr>
            <w:tcW w:w="392" w:type="pct"/>
            <w:vAlign w:val="center"/>
          </w:tcPr>
          <w:p w14:paraId="02902ADC"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III</w:t>
            </w:r>
          </w:p>
        </w:tc>
        <w:tc>
          <w:tcPr>
            <w:tcW w:w="3693" w:type="pct"/>
            <w:vAlign w:val="center"/>
          </w:tcPr>
          <w:p w14:paraId="6FC8D8B7" w14:textId="77777777" w:rsidR="00DE4D59" w:rsidRPr="00701B11" w:rsidRDefault="00000000" w:rsidP="00837B76">
            <w:pPr>
              <w:adjustRightInd w:val="0"/>
              <w:snapToGrid w:val="0"/>
              <w:spacing w:before="40" w:after="40" w:line="240" w:lineRule="auto"/>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Lĩnh vực phân phối điện</w:t>
            </w:r>
          </w:p>
        </w:tc>
        <w:tc>
          <w:tcPr>
            <w:tcW w:w="915" w:type="pct"/>
            <w:vAlign w:val="center"/>
          </w:tcPr>
          <w:p w14:paraId="072ED76D" w14:textId="77777777" w:rsidR="00DE4D59" w:rsidRPr="00701B11" w:rsidRDefault="00DE4D59" w:rsidP="00837B76">
            <w:pPr>
              <w:adjustRightInd w:val="0"/>
              <w:snapToGrid w:val="0"/>
              <w:spacing w:before="40" w:after="40" w:line="240" w:lineRule="auto"/>
              <w:jc w:val="center"/>
              <w:rPr>
                <w:rFonts w:asciiTheme="majorHAnsi" w:hAnsiTheme="majorHAnsi" w:cstheme="majorHAnsi"/>
                <w:color w:val="000000" w:themeColor="text1"/>
                <w:sz w:val="28"/>
                <w:szCs w:val="28"/>
              </w:rPr>
            </w:pPr>
          </w:p>
        </w:tc>
      </w:tr>
      <w:tr w:rsidR="00DE4D59" w:rsidRPr="00701B11" w14:paraId="3C770A3A" w14:textId="77777777" w:rsidTr="0065542D">
        <w:trPr>
          <w:trHeight w:val="20"/>
        </w:trPr>
        <w:tc>
          <w:tcPr>
            <w:tcW w:w="392" w:type="pct"/>
            <w:vAlign w:val="center"/>
          </w:tcPr>
          <w:p w14:paraId="66D26ECB"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1</w:t>
            </w:r>
          </w:p>
        </w:tc>
        <w:tc>
          <w:tcPr>
            <w:tcW w:w="3693" w:type="pct"/>
            <w:vAlign w:val="center"/>
          </w:tcPr>
          <w:p w14:paraId="31F15D74" w14:textId="77777777" w:rsidR="00DE4D59" w:rsidRPr="00701B11" w:rsidRDefault="00000000" w:rsidP="00837B76">
            <w:pPr>
              <w:adjustRightInd w:val="0"/>
              <w:snapToGrid w:val="0"/>
              <w:spacing w:before="40" w:after="40" w:line="240" w:lineRule="auto"/>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Tổng chiều dài đường dây dưới 1.000 km hoặc tổng dung lượng trạm biến áp dưới 300 MVA</w:t>
            </w:r>
          </w:p>
        </w:tc>
        <w:tc>
          <w:tcPr>
            <w:tcW w:w="915" w:type="pct"/>
            <w:vAlign w:val="center"/>
          </w:tcPr>
          <w:p w14:paraId="139B00B6"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12.100.000</w:t>
            </w:r>
          </w:p>
        </w:tc>
      </w:tr>
      <w:tr w:rsidR="00DE4D59" w:rsidRPr="00701B11" w14:paraId="5A5CFFDB" w14:textId="77777777" w:rsidTr="0065542D">
        <w:trPr>
          <w:trHeight w:val="20"/>
        </w:trPr>
        <w:tc>
          <w:tcPr>
            <w:tcW w:w="392" w:type="pct"/>
            <w:vAlign w:val="center"/>
          </w:tcPr>
          <w:p w14:paraId="3DD0312E"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2</w:t>
            </w:r>
          </w:p>
        </w:tc>
        <w:tc>
          <w:tcPr>
            <w:tcW w:w="3693" w:type="pct"/>
            <w:vAlign w:val="center"/>
          </w:tcPr>
          <w:p w14:paraId="76FB90F1" w14:textId="77777777" w:rsidR="00DE4D59" w:rsidRPr="00701B11" w:rsidRDefault="00000000" w:rsidP="00837B76">
            <w:pPr>
              <w:adjustRightInd w:val="0"/>
              <w:snapToGrid w:val="0"/>
              <w:spacing w:before="40" w:after="40" w:line="240" w:lineRule="auto"/>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Tổng chiều dài đường dây từ 1.000 km đến dưới 2.000 km hoặc tổng dung lượng trạm biến áp từ 300 MVA đến dưới 600 MVA</w:t>
            </w:r>
          </w:p>
        </w:tc>
        <w:tc>
          <w:tcPr>
            <w:tcW w:w="915" w:type="pct"/>
            <w:vAlign w:val="center"/>
          </w:tcPr>
          <w:p w14:paraId="2BF46896"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13.700.000</w:t>
            </w:r>
          </w:p>
        </w:tc>
      </w:tr>
      <w:tr w:rsidR="00DE4D59" w:rsidRPr="00701B11" w14:paraId="331EF2E0" w14:textId="77777777" w:rsidTr="0065542D">
        <w:trPr>
          <w:trHeight w:val="20"/>
        </w:trPr>
        <w:tc>
          <w:tcPr>
            <w:tcW w:w="392" w:type="pct"/>
            <w:vAlign w:val="center"/>
          </w:tcPr>
          <w:p w14:paraId="3CD06BB2"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3</w:t>
            </w:r>
          </w:p>
        </w:tc>
        <w:tc>
          <w:tcPr>
            <w:tcW w:w="3693" w:type="pct"/>
            <w:vAlign w:val="center"/>
          </w:tcPr>
          <w:p w14:paraId="22C05E2A" w14:textId="77777777" w:rsidR="00DE4D59" w:rsidRPr="00701B11" w:rsidRDefault="00000000" w:rsidP="00837B76">
            <w:pPr>
              <w:adjustRightInd w:val="0"/>
              <w:snapToGrid w:val="0"/>
              <w:spacing w:before="40" w:after="40" w:line="240" w:lineRule="auto"/>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Tổng chiều dài đường dây từ 2.000 km đến dưới 3.000 km hoặc tổng dung lượng trạm biến áp từ 600 MVA đến dưới 1.000 MVA</w:t>
            </w:r>
          </w:p>
        </w:tc>
        <w:tc>
          <w:tcPr>
            <w:tcW w:w="915" w:type="pct"/>
            <w:vAlign w:val="center"/>
          </w:tcPr>
          <w:p w14:paraId="48E92435"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18.800.000</w:t>
            </w:r>
          </w:p>
        </w:tc>
      </w:tr>
      <w:tr w:rsidR="00DE4D59" w:rsidRPr="00701B11" w14:paraId="4D2932B5" w14:textId="77777777" w:rsidTr="0065542D">
        <w:trPr>
          <w:trHeight w:val="20"/>
        </w:trPr>
        <w:tc>
          <w:tcPr>
            <w:tcW w:w="392" w:type="pct"/>
            <w:vAlign w:val="center"/>
          </w:tcPr>
          <w:p w14:paraId="45584B40"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4</w:t>
            </w:r>
          </w:p>
        </w:tc>
        <w:tc>
          <w:tcPr>
            <w:tcW w:w="3693" w:type="pct"/>
            <w:vAlign w:val="center"/>
          </w:tcPr>
          <w:p w14:paraId="674BA1DA" w14:textId="7E429200" w:rsidR="00DE4D59" w:rsidRPr="00701B11" w:rsidRDefault="00026F93" w:rsidP="00837B76">
            <w:pPr>
              <w:adjustRightInd w:val="0"/>
              <w:snapToGrid w:val="0"/>
              <w:spacing w:before="40" w:after="40" w:line="240" w:lineRule="auto"/>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Tổng chiều dài đường dây từ 3.000 km trở lên hoặc tổng dung lượng trạm biến áp từ 1.000 MVA trở lên</w:t>
            </w:r>
          </w:p>
        </w:tc>
        <w:tc>
          <w:tcPr>
            <w:tcW w:w="915" w:type="pct"/>
            <w:vAlign w:val="center"/>
          </w:tcPr>
          <w:p w14:paraId="5B8D0C99"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21.800.000</w:t>
            </w:r>
          </w:p>
        </w:tc>
      </w:tr>
      <w:tr w:rsidR="00DE4D59" w:rsidRPr="00701B11" w14:paraId="37D64D25" w14:textId="77777777" w:rsidTr="0065542D">
        <w:trPr>
          <w:trHeight w:val="20"/>
        </w:trPr>
        <w:tc>
          <w:tcPr>
            <w:tcW w:w="392" w:type="pct"/>
            <w:vAlign w:val="center"/>
          </w:tcPr>
          <w:p w14:paraId="408B1D86"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lastRenderedPageBreak/>
              <w:t>IV</w:t>
            </w:r>
          </w:p>
        </w:tc>
        <w:tc>
          <w:tcPr>
            <w:tcW w:w="3693" w:type="pct"/>
            <w:vAlign w:val="center"/>
          </w:tcPr>
          <w:p w14:paraId="33F87A5E" w14:textId="77777777" w:rsidR="00DE4D59" w:rsidRPr="00701B11" w:rsidRDefault="00000000" w:rsidP="00837B76">
            <w:pPr>
              <w:adjustRightInd w:val="0"/>
              <w:snapToGrid w:val="0"/>
              <w:spacing w:before="40" w:after="40" w:line="240" w:lineRule="auto"/>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Lĩnh vực bán buôn điện</w:t>
            </w:r>
          </w:p>
        </w:tc>
        <w:tc>
          <w:tcPr>
            <w:tcW w:w="915" w:type="pct"/>
            <w:vAlign w:val="center"/>
          </w:tcPr>
          <w:p w14:paraId="5E7B3613"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19.200.000</w:t>
            </w:r>
          </w:p>
        </w:tc>
      </w:tr>
      <w:tr w:rsidR="00DE4D59" w:rsidRPr="00701B11" w14:paraId="79604A1A" w14:textId="77777777" w:rsidTr="0065542D">
        <w:trPr>
          <w:trHeight w:val="20"/>
        </w:trPr>
        <w:tc>
          <w:tcPr>
            <w:tcW w:w="392" w:type="pct"/>
            <w:vAlign w:val="center"/>
          </w:tcPr>
          <w:p w14:paraId="335A60E7"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V</w:t>
            </w:r>
          </w:p>
        </w:tc>
        <w:tc>
          <w:tcPr>
            <w:tcW w:w="3693" w:type="pct"/>
            <w:vAlign w:val="center"/>
          </w:tcPr>
          <w:p w14:paraId="2D445D4E" w14:textId="77777777" w:rsidR="00DE4D59" w:rsidRPr="00701B11" w:rsidRDefault="00000000" w:rsidP="00837B76">
            <w:pPr>
              <w:adjustRightInd w:val="0"/>
              <w:snapToGrid w:val="0"/>
              <w:spacing w:before="40" w:after="40" w:line="240" w:lineRule="auto"/>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Lĩnh vực bán lẻ điện</w:t>
            </w:r>
          </w:p>
        </w:tc>
        <w:tc>
          <w:tcPr>
            <w:tcW w:w="915" w:type="pct"/>
            <w:vAlign w:val="center"/>
          </w:tcPr>
          <w:p w14:paraId="32BC3594" w14:textId="77777777" w:rsidR="00DE4D59" w:rsidRPr="00701B11" w:rsidRDefault="00DE4D59" w:rsidP="00837B76">
            <w:pPr>
              <w:adjustRightInd w:val="0"/>
              <w:snapToGrid w:val="0"/>
              <w:spacing w:before="40" w:after="40" w:line="240" w:lineRule="auto"/>
              <w:jc w:val="center"/>
              <w:rPr>
                <w:rFonts w:asciiTheme="majorHAnsi" w:hAnsiTheme="majorHAnsi" w:cstheme="majorHAnsi"/>
                <w:color w:val="000000" w:themeColor="text1"/>
                <w:sz w:val="28"/>
                <w:szCs w:val="28"/>
              </w:rPr>
            </w:pPr>
          </w:p>
        </w:tc>
      </w:tr>
      <w:tr w:rsidR="00DE4D59" w:rsidRPr="00701B11" w14:paraId="3F267946" w14:textId="77777777" w:rsidTr="0065542D">
        <w:trPr>
          <w:trHeight w:val="20"/>
        </w:trPr>
        <w:tc>
          <w:tcPr>
            <w:tcW w:w="392" w:type="pct"/>
            <w:vAlign w:val="center"/>
          </w:tcPr>
          <w:p w14:paraId="7E07B164" w14:textId="6A31BCE1" w:rsidR="00DE4D59" w:rsidRPr="00701B11" w:rsidRDefault="00FC221B" w:rsidP="00837B76">
            <w:pPr>
              <w:adjustRightInd w:val="0"/>
              <w:snapToGrid w:val="0"/>
              <w:spacing w:before="40" w:after="40" w:line="240" w:lineRule="auto"/>
              <w:jc w:val="center"/>
              <w:rPr>
                <w:rFonts w:asciiTheme="majorHAnsi" w:hAnsiTheme="majorHAnsi" w:cstheme="majorHAnsi"/>
                <w:color w:val="000000" w:themeColor="text1"/>
                <w:sz w:val="28"/>
                <w:szCs w:val="28"/>
                <w:lang w:val="en-US"/>
              </w:rPr>
            </w:pPr>
            <w:r w:rsidRPr="00701B11">
              <w:rPr>
                <w:rFonts w:asciiTheme="majorHAnsi" w:hAnsiTheme="majorHAnsi" w:cstheme="majorHAnsi"/>
                <w:color w:val="000000" w:themeColor="text1"/>
                <w:sz w:val="28"/>
                <w:szCs w:val="28"/>
                <w:lang w:val="en-US"/>
              </w:rPr>
              <w:t>1</w:t>
            </w:r>
          </w:p>
        </w:tc>
        <w:tc>
          <w:tcPr>
            <w:tcW w:w="3693" w:type="pct"/>
            <w:vAlign w:val="center"/>
          </w:tcPr>
          <w:p w14:paraId="082D438A" w14:textId="77777777" w:rsidR="00DE4D59" w:rsidRPr="00701B11" w:rsidRDefault="00000000" w:rsidP="00837B76">
            <w:pPr>
              <w:adjustRightInd w:val="0"/>
              <w:snapToGrid w:val="0"/>
              <w:spacing w:before="40" w:after="40" w:line="240" w:lineRule="auto"/>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Điện năng thương phẩm tiêu thụ dưới 10 GWh/tháng</w:t>
            </w:r>
          </w:p>
        </w:tc>
        <w:tc>
          <w:tcPr>
            <w:tcW w:w="915" w:type="pct"/>
            <w:vAlign w:val="center"/>
          </w:tcPr>
          <w:p w14:paraId="4B84C280" w14:textId="77777777" w:rsidR="00DE4D59" w:rsidRPr="00701B11" w:rsidRDefault="00000000"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9.700.000</w:t>
            </w:r>
          </w:p>
        </w:tc>
      </w:tr>
      <w:tr w:rsidR="00837B76" w:rsidRPr="00701B11" w14:paraId="428B09DA" w14:textId="77777777" w:rsidTr="0065542D">
        <w:trPr>
          <w:trHeight w:val="20"/>
        </w:trPr>
        <w:tc>
          <w:tcPr>
            <w:tcW w:w="392" w:type="pct"/>
            <w:vAlign w:val="center"/>
          </w:tcPr>
          <w:p w14:paraId="13ED53B4" w14:textId="5B9D4B5F" w:rsidR="00837B76" w:rsidRPr="00701B11" w:rsidRDefault="00837B76"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2</w:t>
            </w:r>
          </w:p>
        </w:tc>
        <w:tc>
          <w:tcPr>
            <w:tcW w:w="3693" w:type="pct"/>
            <w:vAlign w:val="center"/>
          </w:tcPr>
          <w:p w14:paraId="12B0D418" w14:textId="3C617412" w:rsidR="00837B76" w:rsidRPr="00701B11" w:rsidRDefault="00837B76" w:rsidP="00837B76">
            <w:pPr>
              <w:adjustRightInd w:val="0"/>
              <w:snapToGrid w:val="0"/>
              <w:spacing w:before="40" w:after="40" w:line="240" w:lineRule="auto"/>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Điện năng thương phẩm tiêu thụ từ 10 GWh/tháng đến dưới 50 GWh/tháng</w:t>
            </w:r>
          </w:p>
        </w:tc>
        <w:tc>
          <w:tcPr>
            <w:tcW w:w="915" w:type="pct"/>
            <w:vAlign w:val="center"/>
          </w:tcPr>
          <w:p w14:paraId="24C55CEF" w14:textId="01AEBA59" w:rsidR="00837B76" w:rsidRPr="00701B11" w:rsidRDefault="00837B76"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12.500.000</w:t>
            </w:r>
          </w:p>
        </w:tc>
      </w:tr>
      <w:tr w:rsidR="00837B76" w:rsidRPr="00701B11" w14:paraId="7F801B4E" w14:textId="77777777" w:rsidTr="0065542D">
        <w:trPr>
          <w:trHeight w:val="20"/>
        </w:trPr>
        <w:tc>
          <w:tcPr>
            <w:tcW w:w="392" w:type="pct"/>
            <w:vAlign w:val="center"/>
          </w:tcPr>
          <w:p w14:paraId="128BB144" w14:textId="70A47904" w:rsidR="00837B76" w:rsidRPr="00701B11" w:rsidRDefault="00837B76"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3</w:t>
            </w:r>
          </w:p>
        </w:tc>
        <w:tc>
          <w:tcPr>
            <w:tcW w:w="3693" w:type="pct"/>
            <w:vAlign w:val="center"/>
          </w:tcPr>
          <w:p w14:paraId="141C39E0" w14:textId="70C38E0E" w:rsidR="00837B76" w:rsidRPr="00701B11" w:rsidRDefault="00837B76" w:rsidP="00837B76">
            <w:pPr>
              <w:adjustRightInd w:val="0"/>
              <w:snapToGrid w:val="0"/>
              <w:spacing w:before="40" w:after="40" w:line="240" w:lineRule="auto"/>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Điện năng thương phẩm tiêu thụ từ 50 GWh/tháng trở lên</w:t>
            </w:r>
          </w:p>
        </w:tc>
        <w:tc>
          <w:tcPr>
            <w:tcW w:w="915" w:type="pct"/>
            <w:vAlign w:val="center"/>
          </w:tcPr>
          <w:p w14:paraId="19E4F462" w14:textId="192D95D1" w:rsidR="00837B76" w:rsidRPr="00701B11" w:rsidRDefault="00837B76"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16.700.000</w:t>
            </w:r>
          </w:p>
        </w:tc>
      </w:tr>
      <w:tr w:rsidR="00837B76" w:rsidRPr="00701B11" w14:paraId="4D0A7AC6" w14:textId="77777777" w:rsidTr="00FC221B">
        <w:trPr>
          <w:trHeight w:val="20"/>
        </w:trPr>
        <w:tc>
          <w:tcPr>
            <w:tcW w:w="392" w:type="pct"/>
            <w:vAlign w:val="center"/>
          </w:tcPr>
          <w:p w14:paraId="441576DB" w14:textId="655A615B" w:rsidR="00837B76" w:rsidRPr="00701B11" w:rsidRDefault="00837B76"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B</w:t>
            </w:r>
          </w:p>
        </w:tc>
        <w:tc>
          <w:tcPr>
            <w:tcW w:w="4608" w:type="pct"/>
            <w:gridSpan w:val="2"/>
            <w:vAlign w:val="center"/>
          </w:tcPr>
          <w:p w14:paraId="19FE54DE" w14:textId="574BDF39" w:rsidR="00837B76" w:rsidRPr="00701B11" w:rsidRDefault="00837B76" w:rsidP="00837B76">
            <w:pPr>
              <w:adjustRightInd w:val="0"/>
              <w:snapToGrid w:val="0"/>
              <w:spacing w:before="40" w:after="40" w:line="240" w:lineRule="auto"/>
              <w:rPr>
                <w:rFonts w:asciiTheme="majorHAnsi" w:hAnsiTheme="majorHAnsi" w:cstheme="majorHAnsi"/>
                <w:color w:val="000000" w:themeColor="text1"/>
                <w:sz w:val="28"/>
                <w:szCs w:val="28"/>
              </w:rPr>
            </w:pPr>
            <w:r w:rsidRPr="00701B11">
              <w:rPr>
                <w:rFonts w:asciiTheme="majorHAnsi" w:hAnsiTheme="majorHAnsi" w:cstheme="majorHAnsi"/>
                <w:b/>
                <w:color w:val="000000" w:themeColor="text1"/>
                <w:sz w:val="28"/>
                <w:szCs w:val="28"/>
              </w:rPr>
              <w:t>Thẩm định cấp giấy phép hoạt động điện lực do Ủy ban nhân dân cấp tỉnh thực hiện hoặc cơ quan chuyên môn thuộc Ủy ban nhân dân cấp tỉnh được ủy quyền thực hiện</w:t>
            </w:r>
          </w:p>
        </w:tc>
      </w:tr>
      <w:tr w:rsidR="00837B76" w:rsidRPr="00701B11" w14:paraId="2AF9560F" w14:textId="77777777" w:rsidTr="0065542D">
        <w:trPr>
          <w:trHeight w:val="20"/>
        </w:trPr>
        <w:tc>
          <w:tcPr>
            <w:tcW w:w="392" w:type="pct"/>
            <w:vAlign w:val="center"/>
          </w:tcPr>
          <w:p w14:paraId="32F3CC11" w14:textId="004F88E7" w:rsidR="00837B76" w:rsidRPr="00701B11" w:rsidRDefault="00837B76" w:rsidP="00837B76">
            <w:pPr>
              <w:adjustRightInd w:val="0"/>
              <w:snapToGrid w:val="0"/>
              <w:spacing w:before="40" w:after="40" w:line="240" w:lineRule="auto"/>
              <w:jc w:val="center"/>
              <w:rPr>
                <w:rFonts w:asciiTheme="majorHAnsi" w:hAnsiTheme="majorHAnsi" w:cstheme="majorHAnsi"/>
                <w:b/>
                <w:color w:val="000000" w:themeColor="text1"/>
                <w:sz w:val="28"/>
                <w:szCs w:val="28"/>
              </w:rPr>
            </w:pPr>
            <w:r w:rsidRPr="00701B11">
              <w:rPr>
                <w:rFonts w:asciiTheme="majorHAnsi" w:hAnsiTheme="majorHAnsi" w:cstheme="majorHAnsi"/>
                <w:color w:val="000000" w:themeColor="text1"/>
                <w:sz w:val="28"/>
                <w:szCs w:val="28"/>
              </w:rPr>
              <w:t>1</w:t>
            </w:r>
          </w:p>
        </w:tc>
        <w:tc>
          <w:tcPr>
            <w:tcW w:w="3693" w:type="pct"/>
            <w:vAlign w:val="center"/>
          </w:tcPr>
          <w:p w14:paraId="4DE875A7" w14:textId="0643AA30" w:rsidR="00837B76" w:rsidRPr="00701B11" w:rsidRDefault="00837B76" w:rsidP="00837B76">
            <w:pPr>
              <w:adjustRightInd w:val="0"/>
              <w:snapToGrid w:val="0"/>
              <w:spacing w:before="40" w:after="40" w:line="240" w:lineRule="auto"/>
              <w:rPr>
                <w:rFonts w:asciiTheme="majorHAnsi" w:hAnsiTheme="majorHAnsi" w:cstheme="majorHAnsi"/>
                <w:b/>
                <w:color w:val="000000" w:themeColor="text1"/>
                <w:sz w:val="28"/>
                <w:szCs w:val="28"/>
              </w:rPr>
            </w:pPr>
            <w:r w:rsidRPr="00701B11">
              <w:rPr>
                <w:rFonts w:asciiTheme="majorHAnsi" w:hAnsiTheme="majorHAnsi" w:cstheme="majorHAnsi"/>
                <w:color w:val="000000" w:themeColor="text1"/>
                <w:sz w:val="28"/>
                <w:szCs w:val="28"/>
              </w:rPr>
              <w:t>Lĩnh vực phát điện</w:t>
            </w:r>
          </w:p>
        </w:tc>
        <w:tc>
          <w:tcPr>
            <w:tcW w:w="915" w:type="pct"/>
            <w:vAlign w:val="center"/>
          </w:tcPr>
          <w:p w14:paraId="69F65A76" w14:textId="6CE4A39E" w:rsidR="00837B76" w:rsidRPr="00701B11" w:rsidRDefault="00837B76"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2.100.000</w:t>
            </w:r>
          </w:p>
        </w:tc>
      </w:tr>
      <w:tr w:rsidR="00837B76" w:rsidRPr="00701B11" w14:paraId="511195CA" w14:textId="77777777" w:rsidTr="0065542D">
        <w:trPr>
          <w:trHeight w:val="20"/>
        </w:trPr>
        <w:tc>
          <w:tcPr>
            <w:tcW w:w="392" w:type="pct"/>
            <w:vAlign w:val="center"/>
          </w:tcPr>
          <w:p w14:paraId="03E6C59E" w14:textId="2AAC4385" w:rsidR="00837B76" w:rsidRPr="00701B11" w:rsidRDefault="00837B76"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2</w:t>
            </w:r>
          </w:p>
        </w:tc>
        <w:tc>
          <w:tcPr>
            <w:tcW w:w="3693" w:type="pct"/>
            <w:vAlign w:val="center"/>
          </w:tcPr>
          <w:p w14:paraId="4737E583" w14:textId="2DA716B1" w:rsidR="00837B76" w:rsidRPr="00701B11" w:rsidRDefault="00837B76" w:rsidP="00837B76">
            <w:pPr>
              <w:adjustRightInd w:val="0"/>
              <w:snapToGrid w:val="0"/>
              <w:spacing w:before="40" w:after="40" w:line="240" w:lineRule="auto"/>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Lĩnh vực phân phối điện</w:t>
            </w:r>
          </w:p>
        </w:tc>
        <w:tc>
          <w:tcPr>
            <w:tcW w:w="915" w:type="pct"/>
            <w:vAlign w:val="center"/>
          </w:tcPr>
          <w:p w14:paraId="466CA563" w14:textId="7E1E41D0" w:rsidR="00837B76" w:rsidRPr="00701B11" w:rsidRDefault="00837B76"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800.000</w:t>
            </w:r>
          </w:p>
        </w:tc>
      </w:tr>
      <w:tr w:rsidR="00837B76" w:rsidRPr="00701B11" w14:paraId="009C1752" w14:textId="77777777" w:rsidTr="0065542D">
        <w:trPr>
          <w:trHeight w:val="20"/>
        </w:trPr>
        <w:tc>
          <w:tcPr>
            <w:tcW w:w="392" w:type="pct"/>
            <w:vAlign w:val="center"/>
          </w:tcPr>
          <w:p w14:paraId="3C01A49C" w14:textId="7F3759AF" w:rsidR="00837B76" w:rsidRPr="00701B11" w:rsidRDefault="00837B76"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3</w:t>
            </w:r>
          </w:p>
        </w:tc>
        <w:tc>
          <w:tcPr>
            <w:tcW w:w="3693" w:type="pct"/>
            <w:vAlign w:val="center"/>
          </w:tcPr>
          <w:p w14:paraId="2614C1C6" w14:textId="097897EC" w:rsidR="00837B76" w:rsidRPr="00701B11" w:rsidRDefault="00837B76" w:rsidP="00837B76">
            <w:pPr>
              <w:adjustRightInd w:val="0"/>
              <w:snapToGrid w:val="0"/>
              <w:spacing w:before="40" w:after="40" w:line="240" w:lineRule="auto"/>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Lĩnh vực bán buôn điện</w:t>
            </w:r>
          </w:p>
        </w:tc>
        <w:tc>
          <w:tcPr>
            <w:tcW w:w="915" w:type="pct"/>
            <w:vAlign w:val="center"/>
          </w:tcPr>
          <w:p w14:paraId="055A9F40" w14:textId="7268F5CC" w:rsidR="00837B76" w:rsidRPr="00701B11" w:rsidRDefault="00837B76"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700.000</w:t>
            </w:r>
          </w:p>
        </w:tc>
      </w:tr>
      <w:tr w:rsidR="00837B76" w:rsidRPr="00701B11" w14:paraId="771333CD" w14:textId="77777777" w:rsidTr="0065542D">
        <w:trPr>
          <w:trHeight w:val="20"/>
        </w:trPr>
        <w:tc>
          <w:tcPr>
            <w:tcW w:w="392" w:type="pct"/>
            <w:vAlign w:val="center"/>
          </w:tcPr>
          <w:p w14:paraId="1DBF63CD" w14:textId="36B748F8" w:rsidR="00837B76" w:rsidRPr="00701B11" w:rsidRDefault="00837B76"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4</w:t>
            </w:r>
          </w:p>
        </w:tc>
        <w:tc>
          <w:tcPr>
            <w:tcW w:w="3693" w:type="pct"/>
            <w:vAlign w:val="center"/>
          </w:tcPr>
          <w:p w14:paraId="52645F6D" w14:textId="3077118F" w:rsidR="00837B76" w:rsidRPr="00701B11" w:rsidRDefault="00837B76" w:rsidP="00837B76">
            <w:pPr>
              <w:adjustRightInd w:val="0"/>
              <w:snapToGrid w:val="0"/>
              <w:spacing w:before="40" w:after="40" w:line="240" w:lineRule="auto"/>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Lĩnh vực bán lẻ điện</w:t>
            </w:r>
          </w:p>
        </w:tc>
        <w:tc>
          <w:tcPr>
            <w:tcW w:w="915" w:type="pct"/>
            <w:vAlign w:val="center"/>
          </w:tcPr>
          <w:p w14:paraId="6FADBC06" w14:textId="62E96F04" w:rsidR="00837B76" w:rsidRPr="00701B11" w:rsidRDefault="00837B76" w:rsidP="00837B76">
            <w:pPr>
              <w:adjustRightInd w:val="0"/>
              <w:snapToGrid w:val="0"/>
              <w:spacing w:before="40" w:after="40" w:line="240" w:lineRule="auto"/>
              <w:jc w:val="center"/>
              <w:rPr>
                <w:rFonts w:asciiTheme="majorHAnsi" w:hAnsiTheme="majorHAnsi" w:cstheme="majorHAnsi"/>
                <w:color w:val="000000" w:themeColor="text1"/>
                <w:sz w:val="28"/>
                <w:szCs w:val="28"/>
              </w:rPr>
            </w:pPr>
            <w:r w:rsidRPr="00701B11">
              <w:rPr>
                <w:rFonts w:asciiTheme="majorHAnsi" w:hAnsiTheme="majorHAnsi" w:cstheme="majorHAnsi"/>
                <w:color w:val="000000" w:themeColor="text1"/>
                <w:sz w:val="28"/>
                <w:szCs w:val="28"/>
              </w:rPr>
              <w:t>700.000</w:t>
            </w:r>
          </w:p>
        </w:tc>
      </w:tr>
      <w:bookmarkEnd w:id="0"/>
    </w:tbl>
    <w:p w14:paraId="587609E0" w14:textId="77777777" w:rsidR="00E10B0F" w:rsidRPr="00701B11" w:rsidRDefault="00E10B0F" w:rsidP="00837B76">
      <w:pPr>
        <w:adjustRightInd w:val="0"/>
        <w:snapToGrid w:val="0"/>
        <w:spacing w:after="120" w:line="240" w:lineRule="auto"/>
        <w:ind w:firstLine="720"/>
        <w:jc w:val="both"/>
        <w:rPr>
          <w:rFonts w:asciiTheme="majorHAnsi" w:hAnsiTheme="majorHAnsi" w:cstheme="majorHAnsi"/>
          <w:color w:val="000000" w:themeColor="text1"/>
          <w:sz w:val="28"/>
          <w:szCs w:val="28"/>
        </w:rPr>
      </w:pPr>
    </w:p>
    <w:sectPr w:rsidR="00E10B0F" w:rsidRPr="00701B11" w:rsidSect="00837B76">
      <w:pgSz w:w="11906" w:h="16838"/>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4C79E" w14:textId="77777777" w:rsidR="00CF4FEB" w:rsidRDefault="00CF4FEB">
      <w:pPr>
        <w:spacing w:after="0" w:line="240" w:lineRule="auto"/>
      </w:pPr>
      <w:r>
        <w:separator/>
      </w:r>
    </w:p>
  </w:endnote>
  <w:endnote w:type="continuationSeparator" w:id="0">
    <w:p w14:paraId="03CADB5E" w14:textId="77777777" w:rsidR="00CF4FEB" w:rsidRDefault="00CF4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70689" w14:textId="77777777" w:rsidR="00CF4FEB" w:rsidRDefault="00CF4FEB">
      <w:pPr>
        <w:spacing w:after="0" w:line="240" w:lineRule="auto"/>
      </w:pPr>
      <w:r>
        <w:separator/>
      </w:r>
    </w:p>
  </w:footnote>
  <w:footnote w:type="continuationSeparator" w:id="0">
    <w:p w14:paraId="26BF66A4" w14:textId="77777777" w:rsidR="00CF4FEB" w:rsidRDefault="00CF4FE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D59"/>
    <w:rsid w:val="00026F93"/>
    <w:rsid w:val="000A6217"/>
    <w:rsid w:val="004B7DE4"/>
    <w:rsid w:val="005E78B2"/>
    <w:rsid w:val="0065542D"/>
    <w:rsid w:val="0065597F"/>
    <w:rsid w:val="00701B11"/>
    <w:rsid w:val="00702F5B"/>
    <w:rsid w:val="00837B76"/>
    <w:rsid w:val="00851187"/>
    <w:rsid w:val="008F5A55"/>
    <w:rsid w:val="00983480"/>
    <w:rsid w:val="00CD5BF9"/>
    <w:rsid w:val="00CE506D"/>
    <w:rsid w:val="00CF4FEB"/>
    <w:rsid w:val="00DC344F"/>
    <w:rsid w:val="00DE4D59"/>
    <w:rsid w:val="00E06EA5"/>
    <w:rsid w:val="00E10B0F"/>
    <w:rsid w:val="00FC221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20CB0"/>
  <w15:docId w15:val="{57822989-C416-459E-9DD4-74E816F9F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vi-VN" w:eastAsia="vi-V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B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7B76"/>
  </w:style>
  <w:style w:type="paragraph" w:styleId="Footer">
    <w:name w:val="footer"/>
    <w:basedOn w:val="Normal"/>
    <w:link w:val="FooterChar"/>
    <w:uiPriority w:val="99"/>
    <w:unhideWhenUsed/>
    <w:rsid w:val="00837B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7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6</Pages>
  <Words>1512</Words>
  <Characters>8619</Characters>
  <Application>Microsoft Office Word</Application>
  <DocSecurity>0</DocSecurity>
  <Lines>71</Lines>
  <Paragraphs>20</Paragraphs>
  <ScaleCrop>false</ScaleCrop>
  <Company/>
  <LinksUpToDate>false</LinksUpToDate>
  <CharactersWithSpaces>10111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ASUS</cp:lastModifiedBy>
  <cp:revision>21</cp:revision>
  <dcterms:created xsi:type="dcterms:W3CDTF">2026-03-31T03:39:00Z</dcterms:created>
  <dcterms:modified xsi:type="dcterms:W3CDTF">2026-05-04T09:14:00Z</dcterms:modified>
</cp:coreProperties>
</file>